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8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  <w:r/>
    </w:p>
    <w:p>
      <w:pPr>
        <w:pStyle w:val="480"/>
        <w:jc w:val="center"/>
        <w:rPr>
          <w:sz w:val="24"/>
          <w:szCs w:val="24"/>
        </w:rPr>
      </w:pPr>
      <w:r>
        <w:rPr>
          <w:b w:val="false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9166" cy="600761"/>
                <wp:effectExtent l="0" t="0" r="0" b="0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9166" cy="600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0.3pt;height:47.3pt;">
                <v:path textboxrect="0,0,0,0"/>
                <v:imagedata r:id="rId9" o:title=""/>
              </v:shape>
            </w:pict>
          </mc:Fallback>
        </mc:AlternateContent>
      </w:r>
      <w:r>
        <w:rPr>
          <w:sz w:val="24"/>
          <w:szCs w:val="24"/>
        </w:rPr>
      </w:r>
      <w:r/>
    </w:p>
    <w:p>
      <w:pPr>
        <w:pStyle w:val="472"/>
        <w:jc w:val="center"/>
        <w:rPr>
          <w:b/>
          <w:sz w:val="22"/>
        </w:rPr>
      </w:pPr>
      <w:r>
        <w:rPr>
          <w:b/>
          <w:sz w:val="22"/>
        </w:rPr>
        <w:t xml:space="preserve">Администрация муниципального образования</w:t>
      </w:r>
      <w:r>
        <w:rPr>
          <w:b/>
          <w:sz w:val="22"/>
        </w:rPr>
      </w:r>
      <w:r/>
    </w:p>
    <w:p>
      <w:pPr>
        <w:pStyle w:val="472"/>
        <w:jc w:val="center"/>
        <w:rPr>
          <w:b/>
          <w:sz w:val="22"/>
        </w:rPr>
      </w:pPr>
      <w:r>
        <w:rPr>
          <w:b/>
          <w:sz w:val="22"/>
        </w:rPr>
        <w:t xml:space="preserve">Кузнечн</w:t>
      </w:r>
      <w:r>
        <w:rPr>
          <w:b/>
          <w:sz w:val="22"/>
        </w:rPr>
        <w:t xml:space="preserve">инское городское поселение</w:t>
      </w:r>
      <w:r>
        <w:rPr>
          <w:b/>
          <w:sz w:val="22"/>
        </w:rPr>
      </w:r>
      <w:r/>
    </w:p>
    <w:p>
      <w:pPr>
        <w:pStyle w:val="472"/>
        <w:jc w:val="center"/>
        <w:rPr>
          <w:b/>
          <w:sz w:val="22"/>
        </w:rPr>
      </w:pPr>
      <w:r>
        <w:rPr>
          <w:b/>
          <w:sz w:val="22"/>
        </w:rPr>
        <w:t xml:space="preserve">м</w:t>
      </w:r>
      <w:r>
        <w:rPr>
          <w:b/>
          <w:sz w:val="22"/>
        </w:rPr>
        <w:t xml:space="preserve">униципального образования Приозерский муниципальный район</w:t>
      </w:r>
      <w:r/>
    </w:p>
    <w:p>
      <w:pPr>
        <w:pStyle w:val="472"/>
        <w:jc w:val="center"/>
        <w:rPr>
          <w:b/>
          <w:sz w:val="22"/>
        </w:rPr>
      </w:pPr>
      <w:r>
        <w:rPr>
          <w:b/>
          <w:sz w:val="22"/>
        </w:rPr>
        <w:t xml:space="preserve">Ленинградской области</w:t>
      </w:r>
      <w:r/>
    </w:p>
    <w:p>
      <w:pPr>
        <w:pStyle w:val="4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ОСТАНОВЛЕНИЕ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/>
    </w:p>
    <w:p>
      <w:pPr>
        <w:pStyle w:val="4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от «30</w:t>
      </w:r>
      <w:r>
        <w:rPr>
          <w:b/>
          <w:sz w:val="28"/>
          <w:szCs w:val="28"/>
          <w:u w:val="single"/>
        </w:rPr>
        <w:t xml:space="preserve">» </w:t>
      </w:r>
      <w:r>
        <w:rPr>
          <w:b/>
          <w:sz w:val="28"/>
          <w:szCs w:val="28"/>
          <w:u w:val="single"/>
        </w:rPr>
        <w:t xml:space="preserve">декабря</w:t>
      </w:r>
      <w:r>
        <w:rPr>
          <w:b/>
          <w:sz w:val="28"/>
          <w:szCs w:val="28"/>
          <w:u w:val="single"/>
        </w:rPr>
        <w:t xml:space="preserve"> 2021</w:t>
      </w:r>
      <w:r>
        <w:rPr>
          <w:b/>
          <w:sz w:val="28"/>
          <w:szCs w:val="28"/>
          <w:u w:val="single"/>
        </w:rPr>
        <w:t xml:space="preserve"> г</w:t>
      </w:r>
      <w:r>
        <w:rPr>
          <w:b/>
          <w:sz w:val="28"/>
          <w:szCs w:val="28"/>
          <w:u w:val="single"/>
        </w:rPr>
        <w:t xml:space="preserve">. № 204</w:t>
      </w:r>
      <w:r>
        <w:rPr>
          <w:b/>
          <w:sz w:val="28"/>
          <w:szCs w:val="28"/>
          <w:u w:val="single"/>
        </w:rPr>
      </w:r>
      <w:r/>
    </w:p>
    <w:p>
      <w:pPr>
        <w:pStyle w:val="472"/>
        <w:jc w:val="both"/>
      </w:pPr>
      <w:r>
        <w:t xml:space="preserve">     </w:t>
      </w:r>
      <w:r>
        <w:t xml:space="preserve">Об утверждении муниципальной П</w:t>
      </w:r>
      <w:r>
        <w:t xml:space="preserve">рограммы</w:t>
      </w:r>
      <w:r/>
    </w:p>
    <w:p>
      <w:pPr>
        <w:pStyle w:val="472"/>
        <w:jc w:val="both"/>
      </w:pPr>
      <w:r>
        <w:t xml:space="preserve">    </w:t>
      </w:r>
      <w:r>
        <w:t xml:space="preserve"> «Обеспечение устойчивого функционирования </w:t>
      </w:r>
      <w:r/>
    </w:p>
    <w:p>
      <w:pPr>
        <w:pStyle w:val="472"/>
        <w:jc w:val="both"/>
      </w:pPr>
      <w:r>
        <w:t xml:space="preserve">     и развития коммунальной и инженерной</w:t>
      </w:r>
      <w:r>
        <w:t xml:space="preserve"> </w:t>
      </w:r>
      <w:r>
        <w:t xml:space="preserve">инфраструктуры</w:t>
      </w:r>
      <w:r/>
    </w:p>
    <w:p>
      <w:pPr>
        <w:pStyle w:val="472"/>
        <w:jc w:val="both"/>
      </w:pPr>
      <w:r>
        <w:t xml:space="preserve">    </w:t>
      </w:r>
      <w:r>
        <w:t xml:space="preserve"> и повышение энергоэффективности</w:t>
      </w:r>
      <w:r>
        <w:t xml:space="preserve"> </w:t>
      </w:r>
      <w:r>
        <w:t xml:space="preserve">в МО Кузнечнинское </w:t>
      </w:r>
      <w:r/>
    </w:p>
    <w:p>
      <w:pPr>
        <w:pStyle w:val="472"/>
        <w:jc w:val="both"/>
      </w:pPr>
      <w:r>
        <w:t xml:space="preserve">     </w:t>
      </w:r>
      <w:r>
        <w:t xml:space="preserve">городское поселение МО Приозерский муниципальный район</w:t>
      </w:r>
      <w:r/>
    </w:p>
    <w:p>
      <w:pPr>
        <w:pStyle w:val="472"/>
        <w:jc w:val="both"/>
      </w:pPr>
      <w:r>
        <w:t xml:space="preserve">   </w:t>
      </w:r>
      <w:r>
        <w:t xml:space="preserve"> Ленинградской</w:t>
      </w:r>
      <w:r>
        <w:t xml:space="preserve"> </w:t>
      </w:r>
      <w:r>
        <w:t xml:space="preserve">обла</w:t>
      </w:r>
      <w:r>
        <w:t xml:space="preserve">сти </w:t>
      </w:r>
      <w:r>
        <w:t xml:space="preserve">на 2022-2024</w:t>
      </w:r>
      <w:r>
        <w:t xml:space="preserve"> годы</w:t>
      </w:r>
      <w:r>
        <w:t xml:space="preserve">».</w:t>
      </w:r>
      <w:r/>
    </w:p>
    <w:p>
      <w:pPr>
        <w:pStyle w:val="472"/>
        <w:jc w:val="both"/>
      </w:pPr>
      <w:r/>
      <w:r/>
    </w:p>
    <w:p>
      <w:pPr>
        <w:pStyle w:val="472"/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 порядк</w:t>
      </w:r>
      <w:r>
        <w:rPr>
          <w:sz w:val="22"/>
          <w:szCs w:val="22"/>
        </w:rPr>
        <w:t xml:space="preserve">ом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методическими указаниями по </w:t>
      </w:r>
      <w:r>
        <w:rPr>
          <w:sz w:val="22"/>
          <w:szCs w:val="22"/>
        </w:rPr>
        <w:t xml:space="preserve">разработк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, реализации и оценки эффекти</w:t>
      </w:r>
      <w:r>
        <w:rPr>
          <w:sz w:val="22"/>
          <w:szCs w:val="22"/>
        </w:rPr>
        <w:t xml:space="preserve">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</w:t>
      </w:r>
      <w:r>
        <w:rPr>
          <w:sz w:val="22"/>
          <w:szCs w:val="22"/>
        </w:rPr>
        <w:t xml:space="preserve">03</w:t>
      </w:r>
      <w:r>
        <w:rPr>
          <w:sz w:val="22"/>
          <w:szCs w:val="22"/>
        </w:rPr>
        <w:t xml:space="preserve">.12.20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1 года № 1</w:t>
      </w:r>
      <w:r>
        <w:rPr>
          <w:sz w:val="22"/>
          <w:szCs w:val="22"/>
        </w:rPr>
        <w:t xml:space="preserve">78</w:t>
      </w:r>
      <w:r>
        <w:rPr>
          <w:sz w:val="22"/>
          <w:szCs w:val="22"/>
        </w:rPr>
        <w:t xml:space="preserve"> «Об утверждении Порядка </w:t>
      </w:r>
      <w:r>
        <w:rPr>
          <w:sz w:val="22"/>
          <w:szCs w:val="22"/>
        </w:rPr>
        <w:t xml:space="preserve">и Методических указаний по </w:t>
      </w:r>
      <w:r>
        <w:rPr>
          <w:sz w:val="22"/>
          <w:szCs w:val="22"/>
        </w:rPr>
        <w:t xml:space="preserve">разработк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, реализации и оценки эффективности муниципальных </w:t>
      </w:r>
      <w:r>
        <w:rPr>
          <w:sz w:val="22"/>
          <w:szCs w:val="22"/>
        </w:rPr>
        <w:t xml:space="preserve">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</w:t>
      </w:r>
      <w:r>
        <w:rPr>
          <w:sz w:val="22"/>
          <w:szCs w:val="22"/>
        </w:rPr>
        <w:t xml:space="preserve">зации местного самоуправления в Российской Федерации», Устава МО Кузнечнинское городское поселение, администрация муниципального образования  Кузнечнинское городское поселение муниципального образования Приозерский муниципальный район Ленинградской области</w:t>
      </w:r>
      <w:r/>
    </w:p>
    <w:p>
      <w:pPr>
        <w:pStyle w:val="472"/>
        <w:ind w:firstLine="708"/>
        <w:jc w:val="both"/>
      </w:pPr>
      <w:r>
        <w:t xml:space="preserve">ПОСТАНОВЛЯЕТ:</w:t>
      </w:r>
      <w:r/>
    </w:p>
    <w:p>
      <w:pPr>
        <w:pStyle w:val="472"/>
        <w:ind w:firstLine="708"/>
        <w:jc w:val="both"/>
      </w:pPr>
      <w:r>
        <w:t xml:space="preserve">1.</w:t>
      </w:r>
      <w:r>
        <w:t xml:space="preserve">Утвердить</w:t>
      </w:r>
      <w:r>
        <w:t xml:space="preserve"> муниципальн</w:t>
      </w:r>
      <w:r>
        <w:t xml:space="preserve">ую</w:t>
      </w:r>
      <w:r>
        <w:t xml:space="preserve"> </w:t>
      </w:r>
      <w:r>
        <w:t xml:space="preserve">Программу</w:t>
      </w:r>
      <w:r>
        <w:t xml:space="preserve"> «Обеспечение устойчивого функционирования и развития коммунальной и инженерной инфраструктуры и повышение энергоэффективности в МО Кузнечнинское городское поселение МО Приозерский муниципальный райо</w:t>
      </w:r>
      <w:r>
        <w:t xml:space="preserve">н Ленинградской области на 2022</w:t>
      </w:r>
      <w:r>
        <w:t xml:space="preserve">-</w:t>
      </w:r>
      <w:r>
        <w:t xml:space="preserve">2024</w:t>
      </w:r>
      <w:r>
        <w:t xml:space="preserve"> годы»</w:t>
      </w:r>
      <w:r>
        <w:t xml:space="preserve">, согласно приложению 1</w:t>
      </w:r>
      <w:r>
        <w:t xml:space="preserve">.</w:t>
      </w:r>
      <w:r/>
    </w:p>
    <w:p>
      <w:pPr>
        <w:pStyle w:val="472"/>
        <w:ind w:firstLine="708"/>
        <w:jc w:val="both"/>
      </w:pPr>
      <w:r>
        <w:t xml:space="preserve">2.</w:t>
      </w:r>
      <w:r>
        <w:t xml:space="preserve"> Осуществлять финансирование Программы в соответствии с бюджетом МО Кузнечнинское городское поселение МО Приозерский муниципальный рай</w:t>
      </w:r>
      <w:r>
        <w:t xml:space="preserve">он Ленинградской области на 2022 год и плановый период 2022-2024</w:t>
      </w:r>
      <w:r>
        <w:t xml:space="preserve"> годы.</w:t>
      </w:r>
      <w:r/>
    </w:p>
    <w:p>
      <w:pPr>
        <w:pStyle w:val="472"/>
        <w:ind w:firstLine="708"/>
        <w:jc w:val="both"/>
      </w:pPr>
      <w:r>
        <w:rPr>
          <w:sz w:val="22"/>
          <w:szCs w:val="22"/>
        </w:rPr>
        <w:t xml:space="preserve">3.    </w:t>
      </w:r>
      <w:r>
        <w:rPr>
          <w:sz w:val="22"/>
          <w:szCs w:val="22"/>
        </w:rPr>
        <w:t xml:space="preserve">Постановление № 188</w:t>
      </w:r>
      <w:r>
        <w:rPr>
          <w:sz w:val="22"/>
          <w:szCs w:val="22"/>
        </w:rPr>
        <w:t xml:space="preserve"> от 30</w:t>
      </w:r>
      <w:r>
        <w:rPr>
          <w:sz w:val="22"/>
          <w:szCs w:val="22"/>
        </w:rPr>
        <w:t xml:space="preserve">.12</w:t>
      </w:r>
      <w:r>
        <w:rPr>
          <w:sz w:val="22"/>
          <w:szCs w:val="22"/>
        </w:rPr>
        <w:t xml:space="preserve">.2</w:t>
      </w:r>
      <w:r>
        <w:rPr>
          <w:sz w:val="22"/>
          <w:szCs w:val="22"/>
        </w:rPr>
        <w:t xml:space="preserve">021</w:t>
      </w:r>
      <w:r>
        <w:rPr>
          <w:sz w:val="22"/>
          <w:szCs w:val="22"/>
        </w:rPr>
        <w:t xml:space="preserve">г.-считать утратившим силу</w:t>
      </w:r>
      <w:r>
        <w:rPr>
          <w:sz w:val="22"/>
          <w:szCs w:val="22"/>
        </w:rPr>
        <w:t xml:space="preserve">.</w:t>
      </w:r>
      <w:r/>
    </w:p>
    <w:p>
      <w:pPr>
        <w:pStyle w:val="472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4.Опубликовать настоящее постановление в средствах массовой информации и разместить на официальном сайте администрации МО Кузнечнинское городское поселение </w:t>
      </w:r>
      <w:r>
        <w:fldChar w:fldCharType="begin"/>
      </w:r>
      <w:r>
        <w:instrText xml:space="preserve"> HYPERLINK "http://www.kuznechnoe.lenobl.ru" </w:instrText>
      </w:r>
      <w:r>
        <w:fldChar w:fldCharType="separate"/>
      </w:r>
      <w:r>
        <w:rPr>
          <w:rStyle w:val="499"/>
          <w:sz w:val="22"/>
          <w:szCs w:val="22"/>
          <w:lang w:val="en-US"/>
        </w:rPr>
        <w:t xml:space="preserve">www</w:t>
      </w:r>
      <w:r>
        <w:rPr>
          <w:rStyle w:val="499"/>
          <w:sz w:val="22"/>
          <w:szCs w:val="22"/>
        </w:rPr>
        <w:t xml:space="preserve">.</w:t>
      </w:r>
      <w:r>
        <w:rPr>
          <w:rStyle w:val="499"/>
          <w:sz w:val="22"/>
          <w:szCs w:val="22"/>
          <w:lang w:val="en-US"/>
        </w:rPr>
        <w:t xml:space="preserve">kuznechnoe</w:t>
      </w:r>
      <w:r>
        <w:rPr>
          <w:rStyle w:val="499"/>
          <w:sz w:val="22"/>
          <w:szCs w:val="22"/>
        </w:rPr>
        <w:t xml:space="preserve">.</w:t>
      </w:r>
      <w:r>
        <w:rPr>
          <w:rStyle w:val="499"/>
          <w:sz w:val="22"/>
          <w:szCs w:val="22"/>
          <w:lang w:val="en-US"/>
        </w:rPr>
        <w:t xml:space="preserve">lenobl</w:t>
      </w:r>
      <w:r>
        <w:rPr>
          <w:rStyle w:val="499"/>
          <w:sz w:val="22"/>
          <w:szCs w:val="22"/>
        </w:rPr>
        <w:t xml:space="preserve">.</w:t>
      </w:r>
      <w:r>
        <w:rPr>
          <w:rStyle w:val="499"/>
          <w:sz w:val="22"/>
          <w:szCs w:val="22"/>
          <w:lang w:val="en-US"/>
        </w:rPr>
        <w:t xml:space="preserve">ru</w:t>
      </w:r>
      <w:r>
        <w:fldChar w:fldCharType="end"/>
      </w: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Постановление вступает в силу с момента опубликования.</w:t>
      </w:r>
      <w:r/>
    </w:p>
    <w:p>
      <w:pPr>
        <w:pStyle w:val="472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6. Контроль за исполнением настоящего постановления оставляю за собой.</w:t>
      </w:r>
      <w:r/>
    </w:p>
    <w:p>
      <w:pPr>
        <w:pStyle w:val="4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4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pStyle w:val="472"/>
        <w:ind w:left="360"/>
      </w:pPr>
      <w:r>
        <w:rPr>
          <w:sz w:val="22"/>
          <w:szCs w:val="22"/>
        </w:rPr>
        <w:t xml:space="preserve">Глава администрации                                      Становова Н. Н.</w:t>
      </w:r>
      <w:r/>
    </w:p>
    <w:p>
      <w:pPr>
        <w:pStyle w:val="472"/>
        <w:ind w:left="360"/>
      </w:pPr>
      <w:r/>
      <w:r/>
    </w:p>
    <w:p>
      <w:pPr>
        <w:pStyle w:val="472"/>
      </w:pPr>
      <w:r/>
      <w:r/>
    </w:p>
    <w:p>
      <w:pPr>
        <w:pStyle w:val="472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Исп.- Семенова С.Н.</w:t>
      </w:r>
      <w:r/>
    </w:p>
    <w:p>
      <w:pPr>
        <w:pStyle w:val="472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Курносова  Ю. Ю.</w:t>
      </w:r>
      <w:r/>
    </w:p>
    <w:p>
      <w:pPr>
        <w:pStyle w:val="472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Ковалева И.В.</w:t>
      </w:r>
      <w:r/>
    </w:p>
    <w:p>
      <w:pPr>
        <w:pStyle w:val="472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Гусева И.В.</w:t>
      </w:r>
      <w:r/>
    </w:p>
    <w:p>
      <w:pPr>
        <w:pStyle w:val="472"/>
        <w:ind w:left="360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472"/>
        <w:ind w:left="360"/>
      </w:pPr>
      <w:r>
        <w:rPr>
          <w:sz w:val="18"/>
          <w:szCs w:val="18"/>
        </w:rPr>
        <w:t xml:space="preserve">  Разослано: дело-1, прокуратура-1, бух.адм-1, зам.гл-1,КСО-1.</w:t>
      </w:r>
      <w:r/>
    </w:p>
    <w:p>
      <w:pPr>
        <w:pStyle w:val="472"/>
        <w:tabs>
          <w:tab w:val="left" w:pos="705" w:leader="none"/>
        </w:tabs>
      </w:pPr>
      <w:r/>
      <w:r/>
    </w:p>
    <w:p>
      <w:pPr>
        <w:pStyle w:val="472"/>
        <w:tabs>
          <w:tab w:val="left" w:pos="705" w:leader="none"/>
        </w:tabs>
      </w:pPr>
      <w:r/>
      <w:r/>
    </w:p>
    <w:p>
      <w:pPr>
        <w:pStyle w:val="472"/>
        <w:jc w:val="right"/>
      </w:pPr>
      <w:r>
        <w:t xml:space="preserve">                 </w:t>
      </w:r>
      <w:r>
        <w:t xml:space="preserve">       </w:t>
      </w:r>
      <w:r/>
    </w:p>
    <w:p>
      <w:pPr>
        <w:pStyle w:val="484"/>
        <w:jc w:val="right"/>
        <w:tabs>
          <w:tab w:val="left" w:pos="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Утверждено</w:t>
      </w:r>
      <w:r/>
    </w:p>
    <w:p>
      <w:pPr>
        <w:pStyle w:val="484"/>
        <w:jc w:val="right"/>
        <w:tabs>
          <w:tab w:val="left" w:pos="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Постановление администрации</w:t>
      </w:r>
      <w:r/>
    </w:p>
    <w:p>
      <w:pPr>
        <w:pStyle w:val="484"/>
        <w:jc w:val="right"/>
        <w:tabs>
          <w:tab w:val="left" w:pos="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МО Кузнечнинское городское поселение</w:t>
      </w:r>
      <w:r/>
    </w:p>
    <w:p>
      <w:pPr>
        <w:pStyle w:val="484"/>
        <w:jc w:val="right"/>
        <w:tabs>
          <w:tab w:val="left" w:pos="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МО Приозерский муниципальный район</w:t>
      </w:r>
      <w:r/>
    </w:p>
    <w:p>
      <w:pPr>
        <w:pStyle w:val="484"/>
        <w:jc w:val="right"/>
        <w:tabs>
          <w:tab w:val="left" w:pos="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Ленинградской области № 204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30</w:t>
      </w:r>
      <w:r>
        <w:rPr>
          <w:sz w:val="22"/>
          <w:szCs w:val="22"/>
        </w:rPr>
        <w:t xml:space="preserve">.12</w:t>
      </w:r>
      <w:r>
        <w:rPr>
          <w:sz w:val="22"/>
          <w:szCs w:val="22"/>
        </w:rPr>
        <w:t xml:space="preserve">.202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 года.</w:t>
      </w:r>
      <w:r>
        <w:rPr>
          <w:sz w:val="22"/>
          <w:szCs w:val="22"/>
        </w:rPr>
      </w:r>
      <w:r/>
    </w:p>
    <w:p>
      <w:pPr>
        <w:pStyle w:val="47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/>
    </w:p>
    <w:p>
      <w:pPr>
        <w:pStyle w:val="472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ПРИЛОЖЕНИЕ 1</w:t>
      </w:r>
      <w:r>
        <w:rPr>
          <w:b/>
          <w:sz w:val="28"/>
          <w:szCs w:val="28"/>
          <w:u w:val="single"/>
        </w:rPr>
      </w:r>
      <w:r/>
    </w:p>
    <w:p>
      <w:pPr>
        <w:pStyle w:val="47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МУНИЦИПАЛЬНАЯ   ПРОГРАММА</w:t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«ОБЕСПЕЧЕНИЕ</w:t>
      </w:r>
      <w:r>
        <w:rPr>
          <w:sz w:val="28"/>
          <w:szCs w:val="28"/>
        </w:rPr>
        <w:t xml:space="preserve"> УСТОЙЧИВОГО ФУНКЦИАНИРОВАНИЯ И РАЗВИТИЯ КОММУНАЛЬНОЙИ ИНЖЕНЕРОЙ ИНФРАСТРУКТУРЫ И ПОВЫШЕНИЕ ЭНЕРГОЭФФЕКТИВНОСТИ МУНИЦИПАЛЬНОГО </w:t>
      </w:r>
      <w:r>
        <w:rPr>
          <w:sz w:val="28"/>
          <w:szCs w:val="28"/>
        </w:rPr>
        <w:t xml:space="preserve">ОБРАЗОВАНИЯ КУЗНЕЧНИНСКОЕ</w:t>
      </w:r>
      <w:r>
        <w:rPr>
          <w:sz w:val="28"/>
          <w:szCs w:val="28"/>
        </w:rPr>
        <w:t xml:space="preserve"> ГОРОДСКОЕ ПОСЕЛЕНИЕ МО ПРИОЗЕРСКИЙ</w:t>
      </w:r>
      <w:r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 xml:space="preserve">РАЙОН ЛО</w:t>
      </w:r>
      <w:r>
        <w:rPr>
          <w:sz w:val="28"/>
          <w:szCs w:val="28"/>
        </w:rPr>
        <w:t xml:space="preserve"> на 2022-2024</w:t>
      </w:r>
      <w:r>
        <w:rPr>
          <w:sz w:val="28"/>
          <w:szCs w:val="28"/>
        </w:rPr>
        <w:t xml:space="preserve"> годы»</w:t>
      </w: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00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Ответственные за разработку Программы:</w:t>
      </w:r>
      <w:r/>
    </w:p>
    <w:p>
      <w:pPr>
        <w:pStyle w:val="500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заместитель главы администрации</w:t>
      </w:r>
      <w:r>
        <w:rPr>
          <w:rFonts w:ascii="Times New Roman" w:hAnsi="Times New Roman"/>
          <w:b/>
          <w:bCs/>
          <w:color w:val="000001"/>
          <w:sz w:val="24"/>
          <w:szCs w:val="24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472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500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</w:r>
      <w:r/>
    </w:p>
    <w:p>
      <w:pPr>
        <w:pStyle w:val="500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</w:r>
      <w:r/>
    </w:p>
    <w:p>
      <w:pPr>
        <w:pStyle w:val="500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</w:r>
      <w:r/>
    </w:p>
    <w:p>
      <w:pPr>
        <w:pStyle w:val="500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пг.</w:t>
      </w: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 Кузнечное</w:t>
      </w:r>
      <w:r/>
    </w:p>
    <w:p>
      <w:pPr>
        <w:pStyle w:val="500"/>
        <w:jc w:val="center"/>
        <w:rPr>
          <w:rFonts w:ascii="Times New Roman" w:hAnsi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20</w:t>
      </w:r>
      <w:r>
        <w:rPr>
          <w:rFonts w:ascii="Times New Roman" w:hAnsi="Times New Roman"/>
          <w:b/>
          <w:bCs/>
          <w:color w:val="000001"/>
          <w:sz w:val="24"/>
          <w:szCs w:val="24"/>
        </w:rPr>
        <w:t xml:space="preserve">21г.</w:t>
      </w:r>
      <w:r>
        <w:rPr>
          <w:rFonts w:ascii="Times New Roman" w:hAnsi="Times New Roman"/>
          <w:b/>
          <w:bCs/>
          <w:color w:val="000001"/>
          <w:sz w:val="24"/>
          <w:szCs w:val="24"/>
        </w:rPr>
      </w:r>
      <w:r/>
    </w:p>
    <w:p>
      <w:pPr>
        <w:pStyle w:val="472"/>
        <w:jc w:val="right"/>
        <w:rPr>
          <w:sz w:val="22"/>
          <w:szCs w:val="22"/>
        </w:rPr>
      </w:pPr>
      <w:r>
        <w:t xml:space="preserve">  </w:t>
      </w:r>
      <w:r>
        <w:rPr>
          <w:sz w:val="22"/>
          <w:szCs w:val="22"/>
        </w:rPr>
      </w:r>
      <w:r/>
    </w:p>
    <w:p>
      <w:pPr>
        <w:pStyle w:val="472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 А С П О Р Т</w:t>
      </w:r>
      <w:r>
        <w:rPr>
          <w:sz w:val="32"/>
          <w:szCs w:val="32"/>
        </w:rPr>
      </w:r>
      <w:r/>
    </w:p>
    <w:p>
      <w:pPr>
        <w:pStyle w:val="47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МУНИЦИПАЛЬНОЙ ПРОГРАММЫ</w:t>
      </w:r>
      <w:r/>
    </w:p>
    <w:p>
      <w:pPr>
        <w:pStyle w:val="47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«ОБЕСПЕЧЕНИЕ УСТОЙЧИВОГО ФУНКЦИАНИРОВАНИЯ И РАЗВИТИЯ КОММУНАЛЬНОЙИ ИНЖЕНЕРОЙ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ЛО на 2022-2024 годы»</w:t>
      </w:r>
      <w:r/>
    </w:p>
    <w:p>
      <w:pPr>
        <w:pStyle w:val="472"/>
        <w:jc w:val="center"/>
        <w:rPr>
          <w:b/>
          <w:bCs/>
        </w:rPr>
      </w:pPr>
      <w:r>
        <w:rPr>
          <w:b/>
          <w:bCs/>
        </w:rPr>
      </w:r>
      <w:r/>
    </w:p>
    <w:tbl>
      <w:tblPr>
        <w:tblW w:w="5033" w:type="pct"/>
        <w:tblInd w:w="-62" w:type="dxa"/>
        <w:tblBorders>
          <w:left w:val="single" w:color="000000" w:sz="4" w:space="0"/>
          <w:top w:val="none" w:color="000000" w:sz="0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251"/>
        <w:gridCol w:w="7916"/>
      </w:tblGrid>
      <w:tr>
        <w:trPr>
          <w:trHeight w:val="625"/>
        </w:trPr>
        <w:tc>
          <w:tcPr>
            <w:tcBorders>
              <w:top w:val="single" w:color="000000" w:sz="4" w:space="0"/>
            </w:tcBorders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</w:t>
            </w:r>
            <w:r/>
          </w:p>
        </w:tc>
        <w:tc>
          <w:tcPr>
            <w:tcBorders>
              <w:top w:val="single" w:color="000000" w:sz="4" w:space="0"/>
            </w:tcBorders>
            <w:tcW w:w="7916" w:type="dxa"/>
            <w:vAlign w:val="center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2022 -2024 гг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Ответственный исполнитель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/>
          </w:p>
        </w:tc>
      </w:tr>
      <w:tr>
        <w:trPr>
          <w:trHeight w:val="1505"/>
        </w:trPr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Соисполнители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области;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Правительство Ленинградской области</w:t>
            </w:r>
            <w:r/>
          </w:p>
          <w:p>
            <w:pPr>
              <w:pStyle w:val="4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ЖКХ Администрации ЛО</w:t>
            </w:r>
            <w:r/>
          </w:p>
          <w:p>
            <w:pPr>
              <w:pStyle w:val="4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Комитет по ТЭК Администрации ЛО</w:t>
            </w:r>
            <w:r>
              <w:rPr>
                <w:sz w:val="22"/>
                <w:szCs w:val="22"/>
              </w:rPr>
            </w:r>
            <w:r/>
          </w:p>
        </w:tc>
      </w:tr>
      <w:tr>
        <w:trPr>
          <w:trHeight w:val="1473"/>
        </w:trPr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Участники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Администрация муниципального образования Кузнечнинское городское поселение муниципального образования Приозерский муниципальный район </w:t>
            </w:r>
            <w:r>
              <w:rPr>
                <w:sz w:val="22"/>
                <w:szCs w:val="22"/>
              </w:rPr>
              <w:t xml:space="preserve">ЛО</w:t>
            </w:r>
            <w:r>
              <w:rPr>
                <w:sz w:val="22"/>
                <w:szCs w:val="22"/>
              </w:rPr>
              <w:t xml:space="preserve">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Управляющие организации;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Строительные организации;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Подрядные организации;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Физические лица.</w:t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Цель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устойчивости и надежности функционирования объектов коммунальной инфраструктуры, что влечет за собой улучшение качества предоставляемых услуг населению и прочим потребителям в части горячего и холодного водоснабжения, тепла и водоотведения.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Содействие созданию комфортных условий проживания граждан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Задачи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комфортных и безопасных условий проживания населения;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снижение финансовой нагрузки на бюджет всех уровней;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улучшение качества предоставления коммунальных услуг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обеспечения подачи бесперебойного теплоснабжения; 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сокращение расходов тепловой энергии сетях теплоснабжения;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обеспечение газоснабжение населения МО Кузнечнинское городское поселение;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обеспечение населения банными услугами;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- обеспечение экологической безопасности и комфортности проживания граждан</w:t>
            </w:r>
            <w:r/>
          </w:p>
        </w:tc>
      </w:tr>
      <w:tr>
        <w:trPr>
          <w:trHeight w:val="172"/>
        </w:trPr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Ожидаемые (конечные) результаты реализации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Реализация программы позволит: 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сокращение расходов тепловой энергии сетях теплоснабжения;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бесперебойного подачи теплоснабжения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бесперебойного подачи теплоснабжения, том числе с помощью резервных источников электроснабжения;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газоснабжение населения </w:t>
            </w:r>
            <w:r>
              <w:rPr>
                <w:sz w:val="22"/>
                <w:szCs w:val="22"/>
                <w:lang w:eastAsia="ar-SA"/>
              </w:rPr>
              <w:t xml:space="preserve">МО Кузнечнинское городское поселение;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экологической безопасности и комфортности проживания граждан.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-устранение причин возникновения аварийных ситуаций, угрожающих жизнедеятельности человека,</w:t>
            </w:r>
            <w:r/>
          </w:p>
          <w:p>
            <w:pPr>
              <w:pStyle w:val="472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- обеспечение бытового обслуживания населения </w:t>
            </w:r>
            <w:r>
              <w:rPr>
                <w:sz w:val="22"/>
                <w:szCs w:val="22"/>
                <w:lang w:eastAsia="ar-SA"/>
              </w:rPr>
              <w:t xml:space="preserve">МО Кузнечнинское городское поселение;</w:t>
            </w:r>
            <w:r>
              <w:rPr>
                <w:sz w:val="22"/>
                <w:szCs w:val="22"/>
                <w:lang w:eastAsia="ar-SA"/>
              </w:rPr>
            </w:r>
            <w:r/>
          </w:p>
        </w:tc>
      </w:tr>
      <w:tr>
        <w:trPr>
          <w:trHeight w:val="7267"/>
        </w:trPr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Подпрограммы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501"/>
              <w:jc w:val="both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Подпрограмма 1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</w:r>
            <w:r/>
          </w:p>
          <w:p>
            <w:pPr>
              <w:pStyle w:val="4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«Энергосбережение и повышение энергетической эффективности» муниципальной программы «Обе</w:t>
            </w:r>
            <w:r>
              <w:rPr>
                <w:sz w:val="22"/>
                <w:szCs w:val="22"/>
              </w:rPr>
              <w:t xml:space="preserve">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Ленинградской области на 2022-2024 годы»</w:t>
            </w:r>
            <w:r>
              <w:rPr>
                <w:sz w:val="22"/>
                <w:szCs w:val="22"/>
              </w:rPr>
            </w:r>
            <w:r/>
          </w:p>
          <w:p>
            <w:pPr>
              <w:pStyle w:val="502"/>
              <w:ind w:firstLine="0"/>
              <w:jc w:val="both"/>
              <w:widowControl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Подпрограмма 2 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</w:r>
            <w:r/>
          </w:p>
          <w:p>
            <w:pPr>
              <w:pStyle w:val="4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«Газификация муниципального образования Кузнечнинское городское поселение» муниципальной программы «Обе</w:t>
            </w:r>
            <w:r>
              <w:rPr>
                <w:sz w:val="22"/>
                <w:szCs w:val="22"/>
              </w:rPr>
              <w:t xml:space="preserve">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Ленинградской области на 2022-2024 годы»</w:t>
            </w:r>
            <w:r/>
          </w:p>
          <w:p>
            <w:pPr>
              <w:pStyle w:val="502"/>
              <w:ind w:firstLine="0"/>
              <w:jc w:val="both"/>
              <w:widowControl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Подпрограмма 3</w:t>
            </w: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</w:r>
            <w:r/>
          </w:p>
          <w:p>
            <w:pPr>
              <w:pStyle w:val="4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«Водоснабжение и водоотведение муниципального образования» муниципальной программы «Обе</w:t>
            </w:r>
            <w:r>
              <w:rPr>
                <w:sz w:val="22"/>
                <w:szCs w:val="22"/>
              </w:rPr>
              <w:t xml:space="preserve">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Ленинградской области на 2022-2024 годы»</w:t>
            </w:r>
            <w:r/>
          </w:p>
          <w:p>
            <w:pPr>
              <w:pStyle w:val="502"/>
              <w:ind w:firstLine="0"/>
              <w:jc w:val="both"/>
              <w:widowControl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Подпрограмма 4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 «Обе</w:t>
            </w:r>
            <w:r>
              <w:rPr>
                <w:sz w:val="22"/>
                <w:szCs w:val="22"/>
              </w:rPr>
              <w:t xml:space="preserve">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район Ленинградской области на 2022-2024 годы»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Проекты, реализуемые в рамках муниципальной программы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472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Энергосбережение и повышение энергической эффективности</w:t>
            </w:r>
            <w:r/>
          </w:p>
          <w:p>
            <w:pPr>
              <w:pStyle w:val="50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Поддержка преобразований в жилищно-коммунальной сфере на территории Ленинградской области для обеспечения условий проживания населения</w:t>
            </w: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Финансовое обеспечение муниципальной программы - всего, в том числе по годам реализации</w:t>
            </w:r>
            <w:r/>
          </w:p>
        </w:tc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W w:w="7916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объем финансовых средств, необходимых для реализации мероприятий муниципальн</w:t>
            </w:r>
            <w:r>
              <w:rPr>
                <w:sz w:val="22"/>
                <w:szCs w:val="22"/>
              </w:rPr>
              <w:t xml:space="preserve">ой программы, составляет 150 956,6</w:t>
            </w:r>
            <w:r>
              <w:rPr>
                <w:sz w:val="22"/>
                <w:szCs w:val="22"/>
              </w:rPr>
              <w:t xml:space="preserve"> тыс.руб.: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2022 г. – 150 956,6</w:t>
            </w:r>
            <w:r>
              <w:rPr>
                <w:sz w:val="22"/>
                <w:szCs w:val="22"/>
              </w:rPr>
              <w:t xml:space="preserve"> тыс. руб., в том числе по источникам финансирования: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средства областного бюджета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 xml:space="preserve">143 206,6</w:t>
            </w:r>
            <w:r>
              <w:rPr>
                <w:sz w:val="22"/>
                <w:szCs w:val="22"/>
              </w:rPr>
              <w:t xml:space="preserve">тыс.руб.;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</w:t>
            </w:r>
            <w:r>
              <w:rPr>
                <w:sz w:val="22"/>
                <w:szCs w:val="22"/>
              </w:rPr>
              <w:t xml:space="preserve">дства местного бюджета – </w:t>
            </w:r>
            <w:r>
              <w:rPr>
                <w:sz w:val="22"/>
                <w:szCs w:val="22"/>
                <w:lang w:eastAsia="en-US"/>
              </w:rPr>
              <w:t xml:space="preserve">7 450,0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тыс. руб.;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2023 г. 300,0 </w:t>
            </w:r>
            <w:r>
              <w:rPr>
                <w:sz w:val="22"/>
                <w:szCs w:val="22"/>
              </w:rPr>
              <w:t xml:space="preserve">тыс.руб., в том числе по источникам финансирования: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</w:t>
            </w:r>
            <w:r>
              <w:rPr>
                <w:sz w:val="22"/>
                <w:szCs w:val="22"/>
              </w:rPr>
              <w:t xml:space="preserve">едства местного бюджета – 300,0</w:t>
            </w:r>
            <w:r>
              <w:rPr>
                <w:sz w:val="22"/>
                <w:szCs w:val="22"/>
              </w:rPr>
              <w:t xml:space="preserve"> тыс. руб.;</w:t>
            </w:r>
            <w:r/>
          </w:p>
          <w:p>
            <w:pPr>
              <w:pStyle w:val="4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2024 г. – 0</w:t>
            </w:r>
            <w:r>
              <w:rPr>
                <w:sz w:val="22"/>
                <w:szCs w:val="22"/>
              </w:rPr>
              <w:t xml:space="preserve">тыс.руб., в том числе по источникам финансирования:</w:t>
            </w:r>
            <w:r/>
          </w:p>
          <w:p>
            <w:pPr>
              <w:pStyle w:val="472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- сре</w:t>
            </w:r>
            <w:r>
              <w:rPr>
                <w:sz w:val="22"/>
                <w:szCs w:val="22"/>
              </w:rPr>
              <w:t xml:space="preserve">дства местного бюджета – 0</w:t>
            </w:r>
            <w:r>
              <w:rPr>
                <w:sz w:val="22"/>
                <w:szCs w:val="22"/>
              </w:rPr>
              <w:t xml:space="preserve">тыс. руб.</w:t>
            </w:r>
            <w:r/>
          </w:p>
        </w:tc>
      </w:tr>
      <w:tr>
        <w:trPr/>
        <w:tc>
          <w:tcPr>
            <w:tcW w:w="2251" w:type="dxa"/>
            <w:vAlign w:val="top"/>
            <w:textDirection w:val="lrTb"/>
            <w:noWrap w:val="false"/>
          </w:tcPr>
          <w:p>
            <w:pPr>
              <w:pStyle w:val="501"/>
              <w:ind w:firstLine="6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налоговых расходов, направленных на достижение цели муниципальной программы - всего, в том числе по годам реализации</w:t>
            </w:r>
            <w:r/>
          </w:p>
        </w:tc>
        <w:tc>
          <w:tcPr>
            <w:tcW w:w="7916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Налоговые расходы не предусмотрены</w:t>
            </w:r>
            <w:r/>
          </w:p>
        </w:tc>
      </w:tr>
    </w:tbl>
    <w:p>
      <w:pPr>
        <w:pStyle w:val="47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/>
    </w:p>
    <w:p>
      <w:pPr>
        <w:pStyle w:val="472"/>
        <w:rPr>
          <w:b/>
          <w:bCs/>
        </w:rPr>
      </w:pPr>
      <w:r/>
      <w:bookmarkStart w:id="0" w:name="YANDEX_43"/>
      <w:r/>
      <w:bookmarkEnd w:id="0"/>
      <w:r>
        <w:rPr>
          <w:b/>
          <w:bCs/>
        </w:rPr>
      </w:r>
      <w:r/>
    </w:p>
    <w:p>
      <w:pPr>
        <w:pStyle w:val="472"/>
        <w:rPr>
          <w:b/>
          <w:bCs/>
        </w:rPr>
      </w:pPr>
      <w:r>
        <w:rPr>
          <w:b/>
          <w:bCs/>
        </w:rPr>
      </w:r>
      <w:r/>
    </w:p>
    <w:p>
      <w:pPr>
        <w:pStyle w:val="472"/>
        <w:rPr>
          <w:b/>
          <w:bCs/>
        </w:rPr>
      </w:pPr>
      <w:r>
        <w:rPr>
          <w:b/>
          <w:bCs/>
        </w:rPr>
      </w:r>
      <w:r/>
    </w:p>
    <w:p>
      <w:pPr>
        <w:pStyle w:val="472"/>
        <w:rPr>
          <w:b/>
          <w:bCs/>
        </w:rPr>
      </w:pPr>
      <w:r>
        <w:rPr>
          <w:b/>
          <w:bCs/>
        </w:rPr>
      </w:r>
      <w:r/>
    </w:p>
    <w:p>
      <w:pPr>
        <w:pStyle w:val="472"/>
        <w:rPr>
          <w:b/>
          <w:bCs/>
        </w:rPr>
      </w:pPr>
      <w:r>
        <w:rPr>
          <w:b/>
          <w:bCs/>
        </w:rPr>
      </w:r>
      <w:r/>
    </w:p>
    <w:p>
      <w:pPr>
        <w:pStyle w:val="472"/>
        <w:rPr>
          <w:b/>
          <w:bCs/>
        </w:rPr>
      </w:pPr>
      <w:r>
        <w:rPr>
          <w:b/>
          <w:bCs/>
        </w:rPr>
      </w:r>
      <w:r/>
    </w:p>
    <w:p>
      <w:pPr>
        <w:pStyle w:val="4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95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Общая характеристика сферы реализации муниципальной программы</w:t>
      </w:r>
      <w:r>
        <w:rPr>
          <w:b/>
          <w:bCs/>
          <w:i/>
          <w:iCs/>
        </w:rPr>
      </w:r>
      <w:r/>
    </w:p>
    <w:p>
      <w:pPr>
        <w:pStyle w:val="472"/>
        <w:ind w:firstLine="540"/>
        <w:jc w:val="both"/>
      </w:pPr>
      <w:r/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  <w:rPr>
          <w:color w:val="000000"/>
        </w:rPr>
      </w:pPr>
      <w:r>
        <w:t xml:space="preserve"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  <w:r>
        <w:rPr>
          <w:color w:val="000000"/>
        </w:rPr>
      </w:r>
      <w:r/>
    </w:p>
    <w:p>
      <w:pPr>
        <w:pStyle w:val="472"/>
        <w:ind w:firstLine="648"/>
        <w:jc w:val="both"/>
      </w:pPr>
      <w:r>
        <w:t xml:space="preserve">Основные проблемы и прогноз развития сферы реализации программы:</w:t>
      </w:r>
      <w:r/>
    </w:p>
    <w:p>
      <w:pPr>
        <w:pStyle w:val="472"/>
        <w:ind w:left="709"/>
        <w:jc w:val="both"/>
        <w:widowControl w:val="off"/>
      </w:pPr>
      <w:r>
        <w:t xml:space="preserve">-     низкая эффективность энергетического хозяйства, повышение цен на </w:t>
      </w:r>
      <w:r/>
    </w:p>
    <w:p>
      <w:pPr>
        <w:pStyle w:val="472"/>
        <w:jc w:val="both"/>
        <w:widowControl w:val="off"/>
      </w:pPr>
      <w:r>
        <w:t xml:space="preserve">энергоносители обусловливают рост тарифов на потребляемые энергетические ресурсы и рост тарифного давления на жилищно-коммунальное хозяйство, население и организации бюджетной сферы. Доля энергетической составляющей в стоимости услуг ЖКХ постоянно растет; </w:t>
      </w:r>
      <w:r/>
    </w:p>
    <w:p>
      <w:pPr>
        <w:pStyle w:val="472"/>
        <w:jc w:val="both"/>
        <w:widowControl w:val="off"/>
      </w:pPr>
      <w:r>
        <w:t xml:space="preserve">         - </w:t>
      </w:r>
      <w:r>
        <w:t xml:space="preserve"> Повышенный объем потребления энергетических ресурсов, при высоком уровне потерь, ухудшает экологическую обстановку в муниципальном образовании</w:t>
      </w:r>
      <w:r>
        <w:t xml:space="preserve">. </w:t>
      </w:r>
      <w:r>
        <w:t xml:space="preserve">Единственным выходом из ситуации является проведение последовательной политики энергосбережения и повышения эффективности использования топливно-энергетических ресурсов в жилищно-коммунальном и бюджетном секторах хозяйства;</w:t>
      </w:r>
      <w:r/>
    </w:p>
    <w:p>
      <w:pPr>
        <w:pStyle w:val="472"/>
        <w:ind w:firstLine="648"/>
        <w:jc w:val="both"/>
      </w:pPr>
      <w:r>
        <w:t xml:space="preserve">- использование устаревшего оборудования, не соответствующего требованиям энергоэффективности;</w:t>
      </w:r>
      <w:r/>
    </w:p>
    <w:p>
      <w:pPr>
        <w:pStyle w:val="472"/>
        <w:ind w:firstLine="648"/>
        <w:jc w:val="both"/>
      </w:pPr>
      <w:r>
        <w:t xml:space="preserve">- требуется инновационный выбор программно-целевых методов решения организационно-управленческих и хозяйственно-технологических задач;</w:t>
      </w:r>
      <w:r/>
    </w:p>
    <w:p>
      <w:pPr>
        <w:pStyle w:val="472"/>
        <w:ind w:firstLine="648"/>
        <w:jc w:val="both"/>
      </w:pPr>
      <w:r>
        <w:t xml:space="preserve">- необходимо осуществление компл</w:t>
      </w:r>
      <w:r>
        <w:t xml:space="preserve">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</w:t>
      </w:r>
      <w:r>
        <w:t xml:space="preserve">ории </w:t>
      </w:r>
      <w:r>
        <w:t xml:space="preserve">МО Кузнечнинское городское поселение</w:t>
      </w:r>
      <w:r>
        <w:t xml:space="preserve">.</w:t>
      </w:r>
      <w:r/>
    </w:p>
    <w:p>
      <w:pPr>
        <w:pStyle w:val="472"/>
        <w:ind w:firstLine="709"/>
        <w:jc w:val="both"/>
        <w:widowControl w:val="off"/>
      </w:pPr>
      <w:r>
        <w:t xml:space="preserve">Прогнозируемые конечные результаты реализации про</w:t>
      </w:r>
      <w:r>
        <w:t xml:space="preserve">граммы позволят обеспечить повышение   эффективности   использования   топливно-энергетических   ресурсов   в муниципальном образовании, так как решение проблемы энергосбережения и повышения энергетической   эффективности   носит   долгосрочный   характер,</w:t>
      </w:r>
      <w:r>
        <w:t xml:space="preserve">  поскольку   обусловлено необходимостью как изменения системы отношений на рынках энергоносителей, так и замены   и   модернизации   значительной   части   производственной   и   инженерной инфраструктуры и её развития на новом технологическом фундаменте.</w:t>
      </w:r>
      <w:r/>
    </w:p>
    <w:p>
      <w:pPr>
        <w:pStyle w:val="472"/>
        <w:ind w:right="5"/>
        <w:jc w:val="both"/>
        <w:spacing w:lineRule="exact" w:line="274"/>
        <w:shd w:val="clear" w:fill="FFFFFF" w:color="FFFFFF"/>
        <w:rPr>
          <w:color w:val="000000"/>
        </w:rPr>
      </w:pPr>
      <w:r>
        <w:t xml:space="preserve">На решение этих проблем направлены основные мероприятия муниципальной программы «Обеспечение устойчивого функционирования и развития коммунальной и инженерной инфраструктуры и </w:t>
      </w:r>
      <w:r>
        <w:t xml:space="preserve">повышение энергоэффективности в</w:t>
      </w:r>
      <w:r>
        <w:t xml:space="preserve"> </w:t>
      </w:r>
      <w:r>
        <w:t xml:space="preserve">МО Кузнечнинское городское поселение</w:t>
      </w:r>
      <w:r>
        <w:t xml:space="preserve">, способных обеспечить к 2024</w:t>
      </w:r>
      <w:r>
        <w:t xml:space="preserve"> году поэтапный переход к рациональной модели потребления ресурсов.</w:t>
      </w:r>
      <w:r>
        <w:rPr>
          <w:color w:val="000000"/>
        </w:rPr>
        <w:t xml:space="preserve"> </w:t>
      </w:r>
      <w:r>
        <w:rPr>
          <w:color w:val="000000"/>
        </w:rPr>
        <w:t xml:space="preserve">Планируемые мероприятий позволит обеспечить безаварийную работу в отопительные периоды, а также способствуют улучшению качества предоставляемых услуг по теплоснабжению и горячему водоснабжению. </w:t>
      </w:r>
      <w:r/>
    </w:p>
    <w:p>
      <w:pPr>
        <w:pStyle w:val="472"/>
        <w:numPr>
          <w:ilvl w:val="0"/>
          <w:numId w:val="26"/>
        </w:numPr>
        <w:ind w:left="14" w:right="5" w:firstLine="470"/>
        <w:jc w:val="both"/>
        <w:spacing w:lineRule="exact" w:line="274"/>
        <w:shd w:val="clear" w:fill="FFFFFF" w:color="FFFFFF"/>
      </w:pPr>
      <w:r>
        <w:t xml:space="preserve">В целях совершенствования механизма газоснабжения индивидуального жилого фонда в муниципальном образовании </w:t>
      </w:r>
      <w:r>
        <w:t xml:space="preserve">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и обеспечения </w:t>
      </w:r>
      <w:r>
        <w:t xml:space="preserve">удовлетворения потребностей граждан в газовом топливе, в соответствии с Конституцией Российской Федерации, Федеральным законом от 31 марта 1999 года  № 69-ФЗ «О газификации в Российской Федерации»,  Федеральным законом  от 6 октября 2003 года № 131 «Об общ</w:t>
      </w:r>
      <w:r>
        <w:t xml:space="preserve">их принципах организации местного самоуправления в Российской Федерации», и учитывая рекомендации, определенные в Постановлении Правительства Ленинградской области от 28 мая 2008 года № 132 «О газификации индивидуальных жилых домов в Ленинградской области»</w:t>
      </w:r>
      <w:r>
        <w:t xml:space="preserve">.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В настоящее время создание условий для повышения энергоэффективности использования энергии и других видов ресурсов становится одной из приоритетных задач социально-экономического развития МО Кузнечнинское городское поселение. 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Газификация поселка Кузнечное позволит значительно снизить финансовые затраты жителей, предприятий, социально-значимых объектов и других организаций на оплату коммунальных услуг в части теплоснабжения и горячего водоснабжения.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Основные риски, связанные с реализацией программы, определяются следующими факторами: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- Неопределенностью конъектуры и неразвитостью институтов рынка энергосбережения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</w:pPr>
      <w:r>
        <w:t xml:space="preserve">- незавершенностью реформирования энергетики и предстоящими изменениями в управлении отраслью на федеральном уровне.</w:t>
      </w:r>
      <w:r/>
    </w:p>
    <w:p>
      <w:pPr>
        <w:pStyle w:val="472"/>
        <w:numPr>
          <w:ilvl w:val="0"/>
          <w:numId w:val="26"/>
        </w:numPr>
        <w:ind w:right="5"/>
        <w:jc w:val="both"/>
        <w:spacing w:lineRule="exact" w:line="274"/>
        <w:shd w:val="clear" w:fill="FFFFFF" w:color="FFFFFF"/>
        <w:rPr>
          <w:color w:val="000000"/>
        </w:rPr>
      </w:pPr>
      <w:r>
        <w:rPr>
          <w:color w:val="000000"/>
        </w:rPr>
        <w:t xml:space="preserve">Также в период 2020-2022 году были произведены работы по корректировки проектно-сметной документации по объекту «Строительство КОС с реконструкцией КНС 1,2,3 и реконструкцией канализационных коллекторов.</w:t>
      </w:r>
      <w:r>
        <w:rPr>
          <w:color w:val="000000"/>
        </w:rPr>
      </w:r>
      <w:r/>
    </w:p>
    <w:p>
      <w:pPr>
        <w:pStyle w:val="472"/>
        <w:numPr>
          <w:ilvl w:val="0"/>
          <w:numId w:val="26"/>
        </w:numPr>
        <w:ind w:right="5"/>
        <w:jc w:val="both"/>
        <w:spacing w:lineRule="exact" w:line="274"/>
        <w:shd w:val="clear" w:fill="FFFFFF" w:color="FFFFFF"/>
        <w:rPr>
          <w:color w:val="000000"/>
        </w:rPr>
      </w:pPr>
      <w:r>
        <w:rPr>
          <w:color w:val="000000"/>
        </w:rPr>
        <w:t xml:space="preserve">Разработан проект ЗСО станции первого подъема</w:t>
      </w:r>
      <w:r>
        <w:rPr>
          <w:color w:val="000000"/>
        </w:rPr>
        <w:t xml:space="preserve">.</w:t>
      </w:r>
      <w:r/>
    </w:p>
    <w:p>
      <w:pPr>
        <w:pStyle w:val="472"/>
        <w:ind w:right="5"/>
        <w:jc w:val="both"/>
        <w:spacing w:lineRule="exact" w:line="274"/>
        <w:shd w:val="clear" w:fill="FFFFFF" w:color="FFFFFF"/>
        <w:rPr>
          <w:color w:val="000000"/>
        </w:rPr>
      </w:pPr>
      <w:r>
        <w:rPr>
          <w:color w:val="000000"/>
        </w:rPr>
        <w:t xml:space="preserve">Проведение данных мероприятий позволило значительно улучшить качество питьев</w:t>
      </w:r>
      <w:r>
        <w:rPr>
          <w:color w:val="000000"/>
        </w:rPr>
        <w:t xml:space="preserve">ой воды, а также качество предоставляемых коммунальных услуг в части холодного водоснабжения и водоотведения. Реализация мероприятий по строительству КОС и реконструкции сетей водоотведения позволит снизить процент изношенных сетей водоотведения с 50% до 2</w:t>
      </w:r>
      <w:r>
        <w:rPr>
          <w:color w:val="000000"/>
        </w:rPr>
        <w:t xml:space="preserve">0%</w:t>
      </w:r>
      <w:r>
        <w:rPr>
          <w:color w:val="000000"/>
        </w:rPr>
        <w:t xml:space="preserve"> </w:t>
      </w:r>
      <w:r/>
    </w:p>
    <w:p>
      <w:pPr>
        <w:pStyle w:val="472"/>
        <w:ind w:right="5"/>
        <w:jc w:val="both"/>
        <w:spacing w:lineRule="exact" w:line="274"/>
        <w:shd w:val="clear" w:fill="FFFFFF" w:color="FFFFFF"/>
        <w:rPr>
          <w:color w:val="000000"/>
        </w:rPr>
      </w:pPr>
      <w:r>
        <w:rPr>
          <w:color w:val="000000"/>
        </w:rPr>
      </w:r>
      <w:r/>
    </w:p>
    <w:p>
      <w:pPr>
        <w:pStyle w:val="472"/>
        <w:ind w:firstLine="540"/>
        <w:jc w:val="both"/>
      </w:pPr>
      <w:r>
        <w:t xml:space="preserve">Муниципальное образование Кузнечнинское городское поселение МО Пр</w:t>
      </w:r>
      <w:r>
        <w:t xml:space="preserve">и</w:t>
      </w:r>
      <w:r>
        <w:t xml:space="preserve">озерский муниципальный район ЛО» включает в себя микрорайоны: мкр. КНИ, мкр. Ровное. </w:t>
      </w:r>
      <w:r>
        <w:t xml:space="preserve">Населённые пункты удалены друг от друга, в каждом населе</w:t>
      </w:r>
      <w:r>
        <w:t xml:space="preserve">н</w:t>
      </w:r>
      <w:r>
        <w:t xml:space="preserve">ном пункте функционирует общественная баня.</w:t>
      </w:r>
      <w:r/>
    </w:p>
    <w:p>
      <w:pPr>
        <w:pStyle w:val="472"/>
        <w:ind w:firstLine="540"/>
        <w:jc w:val="both"/>
      </w:pPr>
      <w:r>
        <w:t xml:space="preserve">Программный подход к решению проблем содержания и разв</w:t>
      </w:r>
      <w:r>
        <w:t xml:space="preserve">и</w:t>
      </w:r>
      <w:r>
        <w:t xml:space="preserve">тия бань необходим, так как без стройной комплексной системы содержания бань    муниципального образования Кузнечнинское городское поселение МО Приозе</w:t>
      </w:r>
      <w:r>
        <w:t xml:space="preserve">р</w:t>
      </w:r>
      <w:r>
        <w:t xml:space="preserve">ский муниципальный район ЛО невозможно добиться каких-либо значимых р</w:t>
      </w:r>
      <w:r>
        <w:t xml:space="preserve">е</w:t>
      </w:r>
      <w:r>
        <w:t xml:space="preserve">зультатов в обеспечении нормальных предоставляемых бытовых услуг. Важна че</w:t>
      </w:r>
      <w:r>
        <w:t xml:space="preserve">т</w:t>
      </w:r>
      <w:r>
        <w:t xml:space="preserve">кая согласованность действий местной администрации и предприятий, учреждений, населения, обеспечивающих жизнедеятельность поселения.</w:t>
      </w:r>
      <w:r/>
    </w:p>
    <w:p>
      <w:pPr>
        <w:pStyle w:val="472"/>
        <w:ind w:firstLine="540"/>
        <w:jc w:val="both"/>
      </w:pPr>
      <w:r>
        <w:t xml:space="preserve">Финансовое обеспечение Программы осуществляется за счет средств бюджета муниципального образования Кузнечнинское городское поселение МО Приозе</w:t>
      </w:r>
      <w:r>
        <w:t xml:space="preserve">р</w:t>
      </w:r>
      <w:r>
        <w:t xml:space="preserve">ский муниципальный район ЛО в части субсидий юридическим лицам, оказыва</w:t>
      </w:r>
      <w:r>
        <w:t xml:space="preserve">ю</w:t>
      </w:r>
      <w:r>
        <w:t xml:space="preserve">щим услуги, на компенсацию части затрат при оказании услуг по тарифам, не обе</w:t>
      </w:r>
      <w:r>
        <w:t xml:space="preserve">с</w:t>
      </w:r>
      <w:r>
        <w:t xml:space="preserve">печивающим возмещение издержек. </w:t>
      </w:r>
      <w:r/>
    </w:p>
    <w:p>
      <w:pPr>
        <w:pStyle w:val="472"/>
        <w:ind w:firstLine="540"/>
        <w:jc w:val="both"/>
      </w:pPr>
      <w:r>
        <w:rPr>
          <w:color w:val="000000"/>
          <w:spacing w:val="-1"/>
        </w:rPr>
        <w:t xml:space="preserve">Следует учитывать, что реализация Программы связана с производством капитального </w:t>
      </w:r>
      <w:r>
        <w:rPr>
          <w:color w:val="000000"/>
          <w:spacing w:val="3"/>
        </w:rPr>
        <w:t xml:space="preserve">ремонта объектов инфраструктуры, вытекающей из полномочий, возложенных на </w:t>
      </w:r>
      <w:r>
        <w:rPr>
          <w:color w:val="000000"/>
          <w:spacing w:val="-1"/>
        </w:rPr>
        <w:t xml:space="preserve">муниципальное образование Федеральным законом от 06.10.2003 г. №131-ФЗ «Об основных </w:t>
      </w:r>
      <w:r>
        <w:rPr>
          <w:color w:val="000000"/>
        </w:rPr>
        <w:t xml:space="preserve">принципах организации местного самоуправления в РФ».</w:t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  <w:rPr>
          <w:color w:val="000000"/>
        </w:rPr>
      </w:pPr>
      <w:r>
        <w:rPr>
          <w:color w:val="000000"/>
        </w:rPr>
        <w:t xml:space="preserve">Бюджетные средства, направляются</w:t>
      </w:r>
      <w:r>
        <w:rPr>
          <w:color w:val="000000"/>
        </w:rPr>
        <w:t xml:space="preserve"> на выполнение капитального ремонта объектов коммунальной инфраструктуры. Обоснование объема финансирования для проведения капитального ремонта объектов инфраструктуры осуществляется исходя из возможностей областного бюджета и бюджета городского поселения.</w:t>
      </w:r>
      <w:r/>
    </w:p>
    <w:p>
      <w:pPr>
        <w:pStyle w:val="472"/>
        <w:ind w:left="14" w:right="5" w:firstLine="470"/>
        <w:jc w:val="both"/>
        <w:shd w:val="clear" w:fill="FFFFFF" w:color="FFFFFF"/>
        <w:rPr>
          <w:color w:val="000000"/>
        </w:rPr>
      </w:pPr>
      <w:r>
        <w:rPr>
          <w:color w:val="000000"/>
        </w:rPr>
        <w:t xml:space="preserve">В результате реализации данной муниципальной программы были реализованы важные мероприятия, направленные на обеспечение устойчивого, качественного предоставления коммунальных услуг:</w:t>
      </w:r>
      <w:r>
        <w:rPr>
          <w:color w:val="000000"/>
        </w:rPr>
      </w:r>
      <w:r/>
    </w:p>
    <w:p>
      <w:pPr>
        <w:pStyle w:val="472"/>
        <w:ind w:left="14" w:right="5" w:firstLine="470"/>
        <w:jc w:val="both"/>
        <w:spacing w:lineRule="exact" w:line="274"/>
        <w:shd w:val="clear" w:fill="FFFFFF" w:color="FFFFFF"/>
        <w:rPr>
          <w:color w:val="000000"/>
        </w:rPr>
      </w:pPr>
      <w:r>
        <w:t xml:space="preserve">Существующие проблемы на территории МО Кузнечнинское городское поселение, возможно решить только программными методами. Данная программа позволить равномерно распределить финансовую нагрузку на бюджеты всех уровней.</w:t>
      </w:r>
      <w:r>
        <w:rPr>
          <w:color w:val="000000"/>
        </w:rPr>
      </w:r>
      <w:r/>
    </w:p>
    <w:p>
      <w:pPr>
        <w:pStyle w:val="472"/>
        <w:jc w:val="both"/>
        <w:rPr>
          <w:sz w:val="22"/>
          <w:szCs w:val="22"/>
          <w:highlight w:val="green"/>
        </w:rPr>
      </w:pPr>
      <w:r>
        <w:rPr>
          <w:sz w:val="22"/>
          <w:szCs w:val="22"/>
          <w:highlight w:val="green"/>
        </w:rPr>
      </w:r>
      <w:r/>
    </w:p>
    <w:p>
      <w:pPr>
        <w:pStyle w:val="495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Приоритеты и цели муниципальной политики в сфере реализации программы</w:t>
      </w:r>
      <w:r/>
    </w:p>
    <w:p>
      <w:pPr>
        <w:pStyle w:val="472"/>
        <w:ind w:firstLine="54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</w:r>
      <w:r/>
    </w:p>
    <w:p>
      <w:pPr>
        <w:pStyle w:val="472"/>
        <w:ind w:firstLine="709"/>
        <w:jc w:val="both"/>
        <w:widowControl w:val="off"/>
        <w:rPr>
          <w:b/>
        </w:rPr>
        <w:outlineLvl w:val="0"/>
      </w:pPr>
      <w:r>
        <w:t xml:space="preserve">Муниципальная программа направлена на создание благоприятных условий для устойчивого социально-экономического развития </w:t>
      </w:r>
      <w:r>
        <w:t xml:space="preserve">на территории </w:t>
      </w:r>
      <w:r>
        <w:t xml:space="preserve">МО Кузнечнинское городское поселение</w:t>
      </w:r>
      <w:r>
        <w:t xml:space="preserve"> </w:t>
      </w:r>
      <w:r>
        <w:t xml:space="preserve">МО Приозе</w:t>
      </w:r>
      <w:r>
        <w:t xml:space="preserve">р</w:t>
      </w:r>
      <w:r>
        <w:t xml:space="preserve">ский муниципальный район ЛО.</w:t>
      </w:r>
      <w:r>
        <w:rPr>
          <w:b/>
        </w:rPr>
      </w:r>
      <w:r/>
    </w:p>
    <w:p>
      <w:pPr>
        <w:pStyle w:val="472"/>
        <w:ind w:firstLine="540"/>
        <w:jc w:val="both"/>
        <w:widowControl w:val="off"/>
      </w:pPr>
      <w:r>
        <w:t xml:space="preserve">Основной целью Программы является максимально эффективное использование природных энергетических ресурсов и потенциала энергетического сектора в це</w:t>
      </w:r>
      <w:r>
        <w:t xml:space="preserve">лях устойчивого роста экономики. </w:t>
      </w:r>
      <w:r>
        <w:t xml:space="preserve">Достижение этой цели обеспечивается за счет решения следующих задач:</w:t>
      </w:r>
      <w:r/>
    </w:p>
    <w:p>
      <w:pPr>
        <w:pStyle w:val="472"/>
        <w:jc w:val="both"/>
        <w:spacing w:lineRule="exact" w:line="280"/>
      </w:pPr>
      <w:r>
        <w:t xml:space="preserve">- обеспечение контроля за потреблением ресурсов путем оснащения приборами учета энергоресурсов;</w:t>
      </w:r>
      <w:r/>
    </w:p>
    <w:p>
      <w:pPr>
        <w:pStyle w:val="472"/>
        <w:jc w:val="both"/>
        <w:spacing w:lineRule="exact" w:line="280"/>
      </w:pPr>
      <w:r>
        <w:t xml:space="preserve">- повышение уровня рационального использования топлива и энергии за счет широкого внедрения энергосберегающих технологий и оборудования.</w:t>
      </w:r>
      <w:r/>
    </w:p>
    <w:p>
      <w:pPr>
        <w:pStyle w:val="472"/>
        <w:ind w:firstLine="540"/>
        <w:jc w:val="both"/>
        <w:widowControl w:val="off"/>
      </w:pPr>
      <w:r>
        <w:t xml:space="preserve">Реализация программы позволит добиться:</w:t>
      </w:r>
      <w:r/>
    </w:p>
    <w:p>
      <w:pPr>
        <w:pStyle w:val="472"/>
        <w:ind w:left="10"/>
        <w:spacing w:lineRule="exact" w:line="274"/>
        <w:shd w:val="clear" w:fill="FFFFFF" w:color="FFFFFF"/>
        <w:tabs>
          <w:tab w:val="left" w:pos="149" w:leader="none"/>
        </w:tabs>
      </w:pPr>
      <w:r>
        <w:rPr>
          <w:color w:val="000000"/>
        </w:rPr>
        <w:t xml:space="preserve">-</w:t>
        <w:tab/>
        <w:t xml:space="preserve">проведение активной агитационно-разъяснительной работы с населением;</w:t>
      </w:r>
      <w:r/>
    </w:p>
    <w:p>
      <w:pPr>
        <w:pStyle w:val="472"/>
        <w:ind w:left="10"/>
        <w:spacing w:lineRule="exact" w:line="274"/>
        <w:shd w:val="clear" w:fill="FFFFFF" w:color="FFFFFF"/>
        <w:tabs>
          <w:tab w:val="left" w:pos="259" w:leader="none"/>
        </w:tabs>
      </w:pPr>
      <w:r>
        <w:rPr>
          <w:color w:val="000000"/>
        </w:rPr>
        <w:t xml:space="preserve">-</w:t>
        <w:tab/>
      </w:r>
      <w:r>
        <w:rPr>
          <w:color w:val="000000"/>
          <w:spacing w:val="3"/>
        </w:rPr>
        <w:t xml:space="preserve">улучшение  качества  выполняемых  работ  по   капитальному  ремонту  тепло-,  водо-,</w:t>
        <w:br/>
      </w:r>
      <w:r>
        <w:rPr>
          <w:color w:val="000000"/>
          <w:spacing w:val="5"/>
        </w:rPr>
        <w:t xml:space="preserve">канализационных    сетей, котельного оборудования, объектов водоснабжения в полном</w:t>
        <w:br/>
      </w:r>
      <w:r>
        <w:rPr>
          <w:color w:val="000000"/>
          <w:spacing w:val="-4"/>
        </w:rPr>
        <w:t xml:space="preserve">объеме;</w:t>
      </w:r>
      <w:r/>
    </w:p>
    <w:p>
      <w:pPr>
        <w:pStyle w:val="472"/>
        <w:numPr>
          <w:ilvl w:val="0"/>
          <w:numId w:val="4"/>
        </w:numPr>
        <w:ind w:left="10"/>
        <w:spacing w:lineRule="exact" w:line="274"/>
        <w:shd w:val="clear" w:fill="FFFFFF" w:color="FFFFFF"/>
        <w:widowControl w:val="off"/>
        <w:tabs>
          <w:tab w:val="left" w:pos="144" w:leader="none"/>
        </w:tabs>
        <w:rPr>
          <w:color w:val="000000"/>
        </w:rPr>
      </w:pPr>
      <w:r>
        <w:rPr>
          <w:color w:val="000000"/>
          <w:spacing w:val="1"/>
        </w:rPr>
        <w:t xml:space="preserve">внедрение новых эффективных материалов и технологий;</w:t>
      </w:r>
      <w:r>
        <w:rPr>
          <w:color w:val="000000"/>
        </w:rPr>
      </w:r>
      <w:r/>
    </w:p>
    <w:p>
      <w:pPr>
        <w:pStyle w:val="472"/>
        <w:numPr>
          <w:ilvl w:val="0"/>
          <w:numId w:val="4"/>
        </w:numPr>
        <w:ind w:left="10"/>
        <w:spacing w:lineRule="exact" w:line="274"/>
        <w:shd w:val="clear" w:fill="FFFFFF" w:color="FFFFFF"/>
        <w:widowControl w:val="off"/>
        <w:tabs>
          <w:tab w:val="left" w:pos="144" w:leader="none"/>
        </w:tabs>
        <w:rPr>
          <w:color w:val="000000"/>
        </w:rPr>
      </w:pPr>
      <w:r>
        <w:rPr>
          <w:color w:val="000000"/>
        </w:rPr>
        <w:t xml:space="preserve">эффективное использование средств обл</w:t>
      </w:r>
      <w:r>
        <w:rPr>
          <w:color w:val="000000"/>
        </w:rPr>
        <w:t xml:space="preserve">астного бюджета и бюджета поселения</w:t>
      </w:r>
      <w:r>
        <w:rPr>
          <w:color w:val="000000"/>
        </w:rPr>
        <w:t xml:space="preserve">;</w:t>
      </w:r>
      <w:r/>
    </w:p>
    <w:p>
      <w:pPr>
        <w:pStyle w:val="472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-</w:t>
      </w:r>
      <w:r>
        <w:rPr>
          <w:color w:val="000000"/>
          <w:spacing w:val="1"/>
        </w:rPr>
        <w:t xml:space="preserve">разработка и соблюдение прозрачных </w:t>
      </w:r>
      <w:r>
        <w:rPr>
          <w:color w:val="000000"/>
          <w:spacing w:val="1"/>
        </w:rPr>
        <w:t xml:space="preserve">и   публичных   процедур   </w:t>
      </w:r>
      <w:r>
        <w:rPr>
          <w:color w:val="000000"/>
          <w:spacing w:val="1"/>
        </w:rPr>
        <w:t xml:space="preserve">отбора </w:t>
      </w:r>
      <w:r>
        <w:rPr>
          <w:color w:val="000000"/>
          <w:spacing w:val="1"/>
        </w:rPr>
        <w:t xml:space="preserve">участников </w:t>
      </w:r>
      <w:r>
        <w:rPr>
          <w:color w:val="000000"/>
          <w:spacing w:val="-3"/>
        </w:rPr>
        <w:t xml:space="preserve">программы;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rPr>
          <w:color w:val="000000"/>
          <w:spacing w:val="6"/>
        </w:rPr>
        <w:t xml:space="preserve">использование эффективных технических решений и комплексности при проведении </w:t>
      </w:r>
      <w:r>
        <w:rPr>
          <w:color w:val="000000"/>
          <w:spacing w:val="2"/>
        </w:rPr>
        <w:t xml:space="preserve">капитального </w:t>
      </w:r>
      <w:r>
        <w:rPr>
          <w:color w:val="000000"/>
          <w:spacing w:val="2"/>
        </w:rPr>
        <w:t xml:space="preserve">ремонта тепло-, водо-, канализационных   сетей, котельного оборудования и </w:t>
      </w:r>
      <w:r>
        <w:rPr>
          <w:color w:val="000000"/>
          <w:spacing w:val="-1"/>
        </w:rPr>
        <w:t xml:space="preserve">объектов водоснабжения.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Проведение мероприятий по газификации на территории муниципального образования Кузнечнинское городское поселение.  Газификация населенных пунктов муниципального образования Кузнечнинское городское поселение.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Повышение энергетической эффективности при производстве-передачи и потреблении энергетических ресурсов 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Создание условий для перевода экономики и бюджетной сферы МО на энергосберегающий путь развития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Уменьшение потребления энергии и связанных с этим, затрат по муниципальным учреждениям в среднем на 15%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Полный переход на приборный учет при расчетах в жилых многоквартирных домах с организациями коммунального комплекса.</w:t>
      </w:r>
      <w:r>
        <w:rPr>
          <w:color w:val="000000"/>
        </w:rPr>
      </w:r>
      <w:r/>
    </w:p>
    <w:p>
      <w:pPr>
        <w:pStyle w:val="472"/>
        <w:numPr>
          <w:ilvl w:val="0"/>
          <w:numId w:val="5"/>
        </w:numPr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t xml:space="preserve">Оборудовать индивидуальными приборами учета весь муниципальный жилой фонд</w:t>
      </w:r>
      <w:r>
        <w:rPr>
          <w:color w:val="000000"/>
        </w:rPr>
      </w:r>
      <w:r/>
    </w:p>
    <w:p>
      <w:pPr>
        <w:pStyle w:val="472"/>
        <w:ind w:left="5"/>
        <w:spacing w:lineRule="exact" w:line="274"/>
        <w:shd w:val="clear" w:fill="FFFFFF" w:color="FFFFFF"/>
        <w:widowControl w:val="off"/>
        <w:tabs>
          <w:tab w:val="left" w:pos="221" w:leader="none"/>
        </w:tabs>
        <w:rPr>
          <w:color w:val="000000"/>
        </w:rPr>
      </w:pPr>
      <w:r>
        <w:rPr>
          <w:color w:val="000000"/>
        </w:rPr>
        <w:t xml:space="preserve">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  <w:r>
        <w:rPr>
          <w:color w:val="000000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95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Риски и меры по управлению рисками с целью минимизации их влияния на достижение целей муниципальной программы</w:t>
      </w:r>
      <w:r/>
    </w:p>
    <w:p>
      <w:pPr>
        <w:pStyle w:val="472"/>
        <w:ind w:firstLine="708"/>
        <w:jc w:val="both"/>
        <w:spacing w:after="100" w:afterAutospacing="1" w:before="100" w:beforeAutospacing="1"/>
        <w:rPr>
          <w:sz w:val="22"/>
          <w:szCs w:val="22"/>
        </w:rPr>
      </w:pPr>
      <w:r>
        <w:rPr>
          <w:sz w:val="22"/>
          <w:szCs w:val="22"/>
        </w:rPr>
        <w:t xml:space="preserve"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  <w:r/>
    </w:p>
    <w:p>
      <w:pPr>
        <w:pStyle w:val="472"/>
        <w:jc w:val="both"/>
        <w:spacing w:after="100" w:afterAutospacing="1" w:before="100" w:beforeAutospacing="1"/>
        <w:rPr>
          <w:sz w:val="22"/>
          <w:szCs w:val="22"/>
        </w:rPr>
      </w:pPr>
      <w:r>
        <w:rPr>
          <w:sz w:val="22"/>
          <w:szCs w:val="22"/>
        </w:rPr>
        <w:t xml:space="preserve">Реализация муниципальной программы может быть подвержена влиянию следующих рисков:</w:t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b/>
          <w:sz w:val="22"/>
          <w:szCs w:val="22"/>
        </w:rPr>
        <w:t xml:space="preserve">финансового риска</w:t>
      </w:r>
      <w:r>
        <w:rPr>
          <w:sz w:val="22"/>
          <w:szCs w:val="22"/>
        </w:rPr>
        <w:t xml:space="preserve">, связанного с возникновением бюджетного дефицита, соответственно, недостаточным уровнем финансирования мероприятий муниципальной программы. Возникновение указанных рисков может </w:t>
      </w:r>
      <w:r>
        <w:rPr>
          <w:sz w:val="22"/>
          <w:szCs w:val="22"/>
        </w:rPr>
        <w:t xml:space="preserve">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Способы ограничения финансового риска: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ежегодное уточнение объема финансовых средств исходя из возможностей бюджета МО Кузнечнинское городское поселение;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определение наиболее значимых мероприятий для первоочередного финансирования;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привлечение внебюджетных источников финансирования;</w:t>
      </w:r>
      <w:r/>
    </w:p>
    <w:p>
      <w:pPr>
        <w:pStyle w:val="472"/>
        <w:jc w:val="both"/>
        <w:spacing w:after="100" w:afterAutospacing="1" w:before="100" w:beforeAutospacing="1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b/>
          <w:sz w:val="22"/>
          <w:szCs w:val="22"/>
        </w:rPr>
        <w:t xml:space="preserve">риска, связанного с изменениями законодательства</w:t>
      </w:r>
      <w:r>
        <w:rPr>
          <w:sz w:val="22"/>
          <w:szCs w:val="22"/>
        </w:rPr>
        <w:t xml:space="preserve">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законодательства;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b/>
          <w:sz w:val="22"/>
          <w:szCs w:val="22"/>
        </w:rPr>
        <w:t xml:space="preserve">административного риска</w:t>
      </w:r>
      <w:r>
        <w:rPr>
          <w:sz w:val="22"/>
          <w:szCs w:val="22"/>
        </w:rPr>
        <w:t xml:space="preserve">, связанного с неправомерными либо несвоевременными действиями людей, непосредственно или косвенно связанных с исполнением мероприятий муниципальной программы. </w:t>
      </w:r>
      <w:r/>
    </w:p>
    <w:p>
      <w:pPr>
        <w:pStyle w:val="472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Основными условиями минимизации административных рисков являются:</w:t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- формирование эффективной системы управления реализацией муниципальной программы и её подпрограмм;</w:t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-повышение эффективности взаимодействия участников реализации муниципальной программы;</w:t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-заключение и контроль реализации соглашений о взаимодействии с заинтересованными сторонами;</w:t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- своевременная корректировка мероприятий муниципальной программы.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минимизации данного риска будет осуществляться мониторинг реализации муниципальной программы.</w:t>
      </w:r>
      <w:r/>
    </w:p>
    <w:p>
      <w:pPr>
        <w:pStyle w:val="472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jc w:val="both"/>
        <w:shd w:val="clear" w:fill="FFFFFF" w:color="FFFFFF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 xml:space="preserve">кадровые риски</w:t>
      </w:r>
      <w:r>
        <w:rPr>
          <w:sz w:val="22"/>
          <w:szCs w:val="22"/>
        </w:rPr>
        <w:t xml:space="preserve"> связаны с недостаточной квалификацией сотрудников для внедрения новых форм и методов работы. </w:t>
      </w:r>
      <w:r>
        <w:rPr>
          <w:sz w:val="22"/>
          <w:szCs w:val="22"/>
        </w:rPr>
        <w:t xml:space="preserve">Для минимизации рисков будет проводиться подготовка и переподготовка кадров. Для привлечения в отрасль квалифицированных специалистов предусмотрены меры по созданию материальных стимулов в зависимости от результатов профессиональной служебной деятельности.</w:t>
      </w:r>
      <w:r/>
    </w:p>
    <w:p>
      <w:pPr>
        <w:pStyle w:val="472"/>
        <w:ind w:firstLine="708"/>
        <w:jc w:val="both"/>
        <w:spacing w:after="100" w:afterAutospacing="1" w:before="100" w:beforeAutospacing="1"/>
        <w:rPr>
          <w:sz w:val="22"/>
          <w:szCs w:val="22"/>
        </w:rPr>
      </w:pPr>
      <w:r>
        <w:rPr>
          <w:sz w:val="22"/>
          <w:szCs w:val="22"/>
        </w:rPr>
        <w:t xml:space="preserve"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реализации муниципальной программы.</w:t>
      </w:r>
      <w:r/>
    </w:p>
    <w:p>
      <w:pPr>
        <w:pStyle w:val="472"/>
        <w:ind w:firstLine="708"/>
        <w:jc w:val="both"/>
      </w:pPr>
      <w:r/>
      <w:r/>
    </w:p>
    <w:p>
      <w:pPr>
        <w:pStyle w:val="495"/>
        <w:numPr>
          <w:ilvl w:val="0"/>
          <w:numId w:val="33"/>
        </w:num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Методика</w:t>
      </w:r>
      <w:r/>
    </w:p>
    <w:p>
      <w:pPr>
        <w:pStyle w:val="472"/>
        <w:ind w:firstLine="708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оценки эффективности муниципальных программ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Настоящая Методика определяет порядок оценки результативности и эффективности реализации муниципальных программ.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Под результативностью понимается степень достижения запланированных показателей за счет реализации мероприятий Программы.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Результативность измеряется путем сопоставления фактически достигнутых значений показателей с плановыми значениями.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Индекс результативности Программы (мероприятия) оценивается по каждому целевому показателю в год t и за расчетный период T: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Пфit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Рit = ------,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Ппit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</w:pPr>
      <w:r>
        <w:rPr>
          <w:sz w:val="22"/>
          <w:szCs w:val="22"/>
        </w:rPr>
        <w:t xml:space="preserve">где: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Рit - результативность достижения i-го показателя, характеризующего ход реализации Программы,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Пфit - фактическое значение i-го показателя, характеризующего реализацию Программы,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Ппit - плановое значение i-го показателя, характеризующего реализацию Программы,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- номер показателя Программы.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Интегральная оценка результативности Программы в год t определяется по следующей формуле: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  <w:lang w:val="en-US"/>
        </w:rPr>
        <w:t xml:space="preserve">m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SUM </w:t>
      </w:r>
      <w:r>
        <w:rPr>
          <w:sz w:val="22"/>
          <w:szCs w:val="22"/>
        </w:rPr>
        <w:t xml:space="preserve">Р</w:t>
      </w:r>
      <w:r>
        <w:rPr>
          <w:sz w:val="22"/>
          <w:szCs w:val="22"/>
          <w:lang w:val="en-US"/>
        </w:rPr>
        <w:t xml:space="preserve">it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1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Ht = ------- x 100,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                       </w:t>
      </w:r>
      <w:r>
        <w:rPr>
          <w:sz w:val="22"/>
          <w:szCs w:val="22"/>
        </w:rPr>
        <w:t xml:space="preserve">m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где: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Ht - интегральная оценка результативности Программы в год t (в процентах);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Рit - индекс результативности по i-му показателю </w:t>
      </w:r>
      <w:r>
        <w:fldChar w:fldCharType="begin"/>
      </w:r>
      <w:r>
        <w:instrText xml:space="preserve"> HYPERLINK "consultantplus://offline/ref=5C8F4E7ACC6B233161AA48CC83D250141AFC3661E9C77F5FAEE09F556170BEFAED3D40052FE07C96534550CBH1G5D" </w:instrText>
      </w:r>
      <w:r>
        <w:fldChar w:fldCharType="separate"/>
      </w:r>
      <w:r>
        <w:rPr>
          <w:sz w:val="22"/>
          <w:szCs w:val="22"/>
        </w:rPr>
        <w:t xml:space="preserve">&lt;1&gt;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 - количество показателей Программы.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--------------------------------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&lt;1&gt; Все целевые и объемные показатели Программы являются равнозначными.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  <w:lang w:val="en-US"/>
        </w:rPr>
        <w:t xml:space="preserve">Ht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</w:t>
      </w:r>
      <w:r>
        <w:rPr>
          <w:sz w:val="22"/>
          <w:szCs w:val="22"/>
        </w:rPr>
        <w:t xml:space="preserve">Э</w:t>
      </w:r>
      <w:r>
        <w:rPr>
          <w:sz w:val="22"/>
          <w:szCs w:val="22"/>
          <w:lang w:val="en-US"/>
        </w:rPr>
        <w:t xml:space="preserve">t = ---- x 100,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St</w:t>
      </w:r>
      <w:r/>
    </w:p>
    <w:p>
      <w:pPr>
        <w:pStyle w:val="472"/>
        <w:ind w:firstLine="708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где</w:t>
      </w:r>
      <w:r>
        <w:rPr>
          <w:sz w:val="22"/>
          <w:szCs w:val="22"/>
          <w:lang w:val="en-US"/>
        </w:rPr>
        <w:t xml:space="preserve">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Эt - эффективность Программы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Ht - интегральная оценка результативности Программы в год t.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При завершении расчетов показателей формулируются выводы по оценке эффективности реализации Программы с учетом следующих критериев: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значение показателя (Эt) более 110% - эффективность реализации Программы более высокая по сравнению с запланированной;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значение показателя (Эt) от 50 до 90% - эффективность реализации Программы более низкая по сравнению с запланированной;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значение показателя (Эt) менее 50% - Программа реализуется неэффективно.</w:t>
      </w:r>
      <w:r/>
    </w:p>
    <w:p>
      <w:pPr>
        <w:pStyle w:val="472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В случае если эффективнос</w:t>
      </w:r>
      <w:r>
        <w:rPr>
          <w:sz w:val="22"/>
          <w:szCs w:val="22"/>
        </w:rPr>
        <w:t xml:space="preserve">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досрочном прекращении реализации Программы.</w:t>
      </w:r>
      <w:r>
        <w:rPr>
          <w:sz w:val="22"/>
          <w:szCs w:val="22"/>
        </w:rPr>
        <w:br w:type="page"/>
      </w:r>
      <w:r/>
    </w:p>
    <w:p>
      <w:pPr>
        <w:pStyle w:val="4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472"/>
        <w:jc w:val="right"/>
        <w:shd w:val="clear" w:fill="FFFFFF" w:color="FFFFFF"/>
        <w:widowControl w:val="off"/>
        <w:tabs>
          <w:tab w:val="left" w:pos="8645" w:leader="none"/>
        </w:tabs>
        <w:rPr>
          <w:b/>
          <w:sz w:val="28"/>
          <w:szCs w:val="28"/>
        </w:rPr>
      </w:pPr>
      <w:r>
        <w:t xml:space="preserve">  </w:t>
      </w:r>
      <w:r>
        <w:rPr>
          <w:spacing w:val="-4"/>
          <w:lang w:eastAsia="ar-SA"/>
        </w:rPr>
        <w:t xml:space="preserve">  </w:t>
      </w:r>
      <w:r>
        <w:rPr>
          <w:spacing w:val="-4"/>
          <w:lang w:eastAsia="ar-SA"/>
        </w:rPr>
        <w:t xml:space="preserve">Таблица 1</w:t>
      </w:r>
      <w:r>
        <w:rPr>
          <w:b/>
          <w:sz w:val="28"/>
          <w:szCs w:val="28"/>
        </w:rPr>
      </w:r>
      <w:r/>
    </w:p>
    <w:p>
      <w:pPr>
        <w:pStyle w:val="472"/>
        <w:ind w:firstLine="164"/>
        <w:jc w:val="right"/>
        <w:shd w:val="clear" w:fill="FFFFFF" w:color="FFFFFF"/>
        <w:widowControl w:val="off"/>
        <w:tabs>
          <w:tab w:val="left" w:pos="8645" w:leader="none"/>
        </w:tabs>
        <w:rPr>
          <w:spacing w:val="-4"/>
          <w:lang w:eastAsia="ar-SA"/>
        </w:rPr>
      </w:pPr>
      <w:r>
        <w:rPr>
          <w:spacing w:val="-4"/>
          <w:lang w:eastAsia="ar-SA"/>
        </w:rPr>
      </w:r>
      <w:r/>
    </w:p>
    <w:p>
      <w:pPr>
        <w:pStyle w:val="472"/>
        <w:widowControl w:val="off"/>
        <w:tabs>
          <w:tab w:val="left" w:pos="690" w:leader="none"/>
          <w:tab w:val="center" w:pos="4988" w:leader="none"/>
        </w:tabs>
        <w:rPr>
          <w:b/>
        </w:rPr>
      </w:pPr>
      <w:r>
        <w:rPr>
          <w:spacing w:val="-4"/>
          <w:lang w:eastAsia="ar-SA"/>
        </w:rPr>
        <w:t xml:space="preserve">                     </w:t>
      </w:r>
      <w:r>
        <w:rPr>
          <w:b/>
        </w:rPr>
        <w:tab/>
      </w:r>
      <w:r>
        <w:rPr>
          <w:b/>
        </w:rPr>
        <w:t xml:space="preserve">Расходы </w:t>
      </w:r>
      <w:r/>
    </w:p>
    <w:p>
      <w:pPr>
        <w:pStyle w:val="472"/>
        <w:jc w:val="center"/>
        <w:widowControl w:val="off"/>
        <w:rPr>
          <w:b/>
        </w:rPr>
      </w:pPr>
      <w:r>
        <w:rPr>
          <w:b/>
        </w:rPr>
        <w:t xml:space="preserve">на реализацию муниципальной программы </w:t>
      </w:r>
      <w:r/>
    </w:p>
    <w:p>
      <w:pPr>
        <w:pStyle w:val="472"/>
        <w:ind w:firstLine="540"/>
        <w:jc w:val="both"/>
        <w:widowControl w:val="off"/>
        <w:rPr>
          <w:b/>
        </w:rPr>
      </w:pPr>
      <w:r>
        <w:t xml:space="preserve">«Обеспечение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</w:t>
      </w:r>
      <w:r>
        <w:t xml:space="preserve">он Ленинградской области на 2020-2022</w:t>
      </w:r>
      <w:r>
        <w:t xml:space="preserve">годы»</w:t>
      </w:r>
      <w:r>
        <w:rPr>
          <w:b/>
        </w:rPr>
      </w:r>
      <w:r/>
    </w:p>
    <w:tbl>
      <w:tblPr>
        <w:tblW w:w="9437" w:type="dxa"/>
        <w:tblInd w:w="419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75" w:type="dxa"/>
          <w:top w:w="0" w:type="dxa"/>
          <w:right w:w="75" w:type="dxa"/>
          <w:bottom w:w="0" w:type="dxa"/>
        </w:tblCellMar>
        <w:tblLook w:val="00A0" w:firstRow="1" w:lastRow="0" w:firstColumn="1" w:lastColumn="0" w:noHBand="0" w:noVBand="0"/>
      </w:tblPr>
      <w:tblGrid>
        <w:gridCol w:w="649"/>
        <w:gridCol w:w="4110"/>
        <w:gridCol w:w="1134"/>
        <w:gridCol w:w="1276"/>
        <w:gridCol w:w="1134"/>
        <w:gridCol w:w="1134"/>
      </w:tblGrid>
      <w:tr>
        <w:trPr>
          <w:cantSplit/>
        </w:trPr>
        <w:tc>
          <w:tcPr>
            <w:tcW w:w="649" w:type="dxa"/>
            <w:vAlign w:val="center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№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строки</w:t>
            </w:r>
            <w:r/>
          </w:p>
        </w:tc>
        <w:tc>
          <w:tcPr>
            <w:tcW w:w="4110" w:type="dxa"/>
            <w:vAlign w:val="center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Источники финансирования</w:t>
            </w:r>
            <w:r/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(тыс. ру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лей)</w:t>
            </w:r>
            <w:r/>
          </w:p>
        </w:tc>
        <w:tc>
          <w:tcPr>
            <w:gridSpan w:val="3"/>
            <w:tcW w:w="35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</w:t>
            </w:r>
            <w:r/>
          </w:p>
        </w:tc>
      </w:tr>
      <w:tr>
        <w:trPr>
          <w:cantSplit/>
          <w:trHeight w:val="917"/>
        </w:trPr>
        <w:tc>
          <w:tcPr>
            <w:tcW w:w="64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</w:pPr>
            <w:r/>
            <w:r/>
          </w:p>
        </w:tc>
        <w:tc>
          <w:tcPr>
            <w:tcW w:w="4110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</w:pPr>
            <w:r/>
            <w:r/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</w:pPr>
            <w:r/>
            <w:r/>
          </w:p>
        </w:tc>
        <w:tc>
          <w:tcPr>
            <w:tcW w:w="1276" w:type="dxa"/>
            <w:vAlign w:val="center"/>
            <w:textDirection w:val="btLr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2022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  <w:r/>
          </w:p>
        </w:tc>
        <w:tc>
          <w:tcPr>
            <w:tcW w:w="1134" w:type="dxa"/>
            <w:vAlign w:val="center"/>
            <w:textDirection w:val="btLr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2023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btLr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2024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год 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</w:t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6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ОБЩИЕ РАСХОДЫ НА РЕАЛИЗАЦИЮ МУНИЦИПАЛЬНОЙ ПРОГРАММЫ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Всего: 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150 956,6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150 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56,6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 за счет средств: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федерального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rPr>
                <w:sz w:val="22"/>
                <w:szCs w:val="22"/>
                <w:lang w:eastAsia="en-US"/>
              </w:rPr>
              <w:t xml:space="preserve">       </w:t>
            </w: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областного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143 206,6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143 206,6</w:t>
            </w:r>
            <w:r>
              <w:rPr>
                <w:rFonts w:ascii="Times New Roman" w:hAnsi="Times New Roman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0</w:t>
            </w:r>
            <w:r>
              <w:rPr>
                <w:rFonts w:ascii="Times New Roman" w:hAnsi="Times New Roman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7 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 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>
          <w:trHeight w:val="308"/>
        </w:trPr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Прочих источников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Подпрограмма «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Энергосбережение и повышение энергетической эффективности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муниципальной программы «Обеспечение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он Ленинградской области на 2022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-20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24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годы»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ind w:left="360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1.1. Мероприятия по повышению надежности и энергетической эффективности в системах теплоснабжения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150,0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 за счет средств: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федерального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rPr>
                <w:sz w:val="22"/>
                <w:szCs w:val="22"/>
                <w:lang w:eastAsia="en-US"/>
              </w:rPr>
              <w:t xml:space="preserve">      </w:t>
            </w: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rPr>
                <w:sz w:val="22"/>
                <w:szCs w:val="22"/>
                <w:lang w:eastAsia="en-US"/>
              </w:rPr>
              <w:t xml:space="preserve">       </w:t>
            </w: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областного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150,0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Прочих источников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Подпрограмма «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Газификация муниципального образования Кузнечнинское городское поселение»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муниципальной программы «Обеспечение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он Ленинградской области на 2020-2022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годы»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2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1 Мероприятия по реализации подпрограммы «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Газификация муниципального образования Кузнечнинское городское поселение МО Приозерский муниципальный район Ленинградской области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»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26 179,0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 за счет средств: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федерального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областного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26 179,0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прочих источников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Подпрограмма «Водоснабжение и водоотведение муниципального образования»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муниципальной программы «Обеспечение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он Ленинградской области на 2020-2022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годы»</w:t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3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1.Мероприятия по строительству и реконструкции объектов водоснабжения, водоотведения и очистки сточных вод 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117 027,6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117 027,6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 за счет средств: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федерального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областного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117 027,6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117 027,6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Прочих источников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Подпрограмма 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 обслуживания муниципальной программы «Обеспечение устойчивого функционирования и развития коммунальной инженерной инфраструктуры и повышение энергоэффективности муниципального образования Кузнечнинское городское поселение МО Приозерский муниципальный рай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он Ленинградской области на 2020-2022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годы»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gridSpan w:val="5"/>
            <w:tcW w:w="8788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4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1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Субсидии юридическим лицам, оказывающим жилищно-коммунальные услуги, на компенсацию  части затрат при оказании услуг по тарифам не обеспечивающим возмещение издержек в рамках подпрограммы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Всего: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7 3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7 3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00,0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 том числе за счет средств: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федерального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областного бюджета (плановый объем)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---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местного бюджета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7 3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00,0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7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00,0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0</w:t>
            </w:r>
            <w:r>
              <w:rPr>
                <w:rFonts w:ascii="Times New Roman" w:hAnsi="Times New Roman"/>
                <w:sz w:val="21"/>
                <w:szCs w:val="21"/>
                <w:lang w:eastAsia="en-US"/>
              </w:rPr>
            </w:r>
            <w:r/>
          </w:p>
        </w:tc>
      </w:tr>
      <w:tr>
        <w:trPr/>
        <w:tc>
          <w:tcPr>
            <w:tcW w:w="64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</w:r>
            <w:r/>
          </w:p>
        </w:tc>
        <w:tc>
          <w:tcPr>
            <w:tcW w:w="411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прочих источников (плановый объем)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</w:pPr>
            <w:r>
              <w:rPr>
                <w:sz w:val="22"/>
                <w:szCs w:val="22"/>
                <w:lang w:eastAsia="en-US"/>
              </w:rPr>
              <w:t xml:space="preserve">---</w:t>
            </w:r>
            <w:r/>
          </w:p>
        </w:tc>
      </w:tr>
    </w:tbl>
    <w:p>
      <w:pPr>
        <w:pStyle w:val="472"/>
        <w:sectPr>
          <w:footnotePr/>
          <w:endnotePr/>
          <w:type w:val="nextPage"/>
          <w:pgSz w:w="11906" w:h="16838" w:orient="portrait"/>
          <w:pgMar w:top="426" w:right="850" w:bottom="567" w:left="1080" w:header="708" w:footer="708" w:gutter="0"/>
          <w:cols w:num="1" w:sep="0" w:space="708" w:equalWidth="1"/>
          <w:docGrid w:linePitch="360"/>
        </w:sectPr>
      </w:pPr>
      <w:r/>
      <w:r/>
    </w:p>
    <w:p>
      <w:pPr>
        <w:pStyle w:val="472"/>
        <w:jc w:val="right"/>
      </w:pPr>
      <w:r>
        <w:rPr>
          <w:spacing w:val="-4"/>
          <w:lang w:eastAsia="ar-SA"/>
        </w:rPr>
        <w:t xml:space="preserve">Таблица 2</w:t>
      </w:r>
      <w:r/>
    </w:p>
    <w:p>
      <w:pPr>
        <w:pStyle w:val="472"/>
        <w:jc w:val="center"/>
        <w:widowControl w:val="off"/>
        <w:rPr>
          <w:b/>
        </w:rPr>
      </w:pPr>
      <w:r>
        <w:rPr>
          <w:b/>
        </w:rPr>
      </w:r>
      <w:r/>
    </w:p>
    <w:p>
      <w:pPr>
        <w:pStyle w:val="472"/>
        <w:jc w:val="center"/>
        <w:widowControl w:val="off"/>
        <w:rPr>
          <w:b/>
        </w:rPr>
      </w:pPr>
      <w:r>
        <w:rPr>
          <w:b/>
        </w:rPr>
        <w:t xml:space="preserve">Целевые показатели </w:t>
      </w:r>
      <w:r/>
    </w:p>
    <w:p>
      <w:pPr>
        <w:pStyle w:val="472"/>
        <w:jc w:val="center"/>
        <w:rPr>
          <w:b/>
        </w:rPr>
      </w:pPr>
      <w:r>
        <w:rPr>
          <w:b/>
        </w:rPr>
        <w:t xml:space="preserve">муниципальной программы</w:t>
      </w:r>
      <w:r>
        <w:rPr>
          <w:b/>
        </w:rPr>
        <w:t xml:space="preserve"> «Обеспечение устойчивого функционирования и развития коммунальной и инженерной инфраструктуры</w:t>
      </w:r>
      <w:r/>
    </w:p>
    <w:p>
      <w:pPr>
        <w:pStyle w:val="472"/>
        <w:jc w:val="center"/>
        <w:rPr>
          <w:b/>
        </w:rPr>
      </w:pPr>
      <w:r>
        <w:rPr>
          <w:b/>
        </w:rPr>
        <w:t xml:space="preserve">и повышение энергоэффективности в МО Кузнечнинское</w:t>
      </w:r>
      <w:r/>
    </w:p>
    <w:p>
      <w:pPr>
        <w:pStyle w:val="472"/>
        <w:jc w:val="center"/>
        <w:rPr>
          <w:b/>
        </w:rPr>
      </w:pPr>
      <w:r>
        <w:rPr>
          <w:b/>
        </w:rPr>
        <w:t xml:space="preserve">городское поселение МО Приозерский муниципальный район</w:t>
      </w:r>
      <w:r/>
    </w:p>
    <w:p>
      <w:pPr>
        <w:pStyle w:val="472"/>
        <w:jc w:val="center"/>
        <w:rPr>
          <w:b/>
        </w:rPr>
      </w:pPr>
      <w:r>
        <w:rPr>
          <w:b/>
        </w:rPr>
        <w:t xml:space="preserve">Ленинградской области </w:t>
      </w:r>
      <w:r>
        <w:rPr>
          <w:b/>
        </w:rPr>
        <w:t xml:space="preserve">на 2022</w:t>
      </w:r>
      <w:r>
        <w:rPr>
          <w:b/>
        </w:rPr>
        <w:t xml:space="preserve">-</w:t>
      </w:r>
      <w:r>
        <w:rPr>
          <w:b/>
        </w:rPr>
        <w:t xml:space="preserve">2024</w:t>
      </w:r>
      <w:r>
        <w:rPr>
          <w:b/>
        </w:rPr>
        <w:t xml:space="preserve"> годы».</w:t>
      </w:r>
      <w:r>
        <w:rPr>
          <w:b/>
        </w:rPr>
      </w:r>
      <w:r/>
    </w:p>
    <w:p>
      <w:pPr>
        <w:pStyle w:val="472"/>
        <w:jc w:val="center"/>
        <w:widowControl w:val="off"/>
      </w:pPr>
      <w:r/>
      <w:r/>
    </w:p>
    <w:tbl>
      <w:tblPr>
        <w:tblW w:w="15540" w:type="dxa"/>
        <w:tblInd w:w="-34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3543"/>
        <w:gridCol w:w="1635"/>
        <w:gridCol w:w="1605"/>
        <w:gridCol w:w="1544"/>
        <w:gridCol w:w="1674"/>
        <w:gridCol w:w="1487"/>
        <w:gridCol w:w="3474"/>
        <w:gridCol w:w="10"/>
      </w:tblGrid>
      <w:tr>
        <w:trPr>
          <w:cantSplit/>
          <w:gridAfter w:val="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№ строки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Наименование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целевого показателя муниципальной программы/подпрограммы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gridSpan w:val="4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31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Значения целевых показателей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Справочно: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базовое значение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целевого показателя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(на начало реализации муниципальной программы)</w:t>
            </w:r>
            <w:r/>
          </w:p>
        </w:tc>
      </w:tr>
      <w:tr>
        <w:trPr>
          <w:cantSplit/>
          <w:gridAfter w:val="1"/>
          <w:trHeight w:val="93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итогам первого года реализации</w:t>
            </w:r>
            <w:r>
              <w:rPr>
                <w:sz w:val="22"/>
                <w:szCs w:val="22"/>
                <w:lang w:eastAsia="en-US"/>
              </w:rPr>
            </w:r>
            <w:r/>
          </w:p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2022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итогам второго года реализации</w:t>
            </w:r>
            <w:r>
              <w:rPr>
                <w:sz w:val="22"/>
                <w:szCs w:val="22"/>
                <w:lang w:eastAsia="en-US"/>
              </w:rPr>
            </w:r>
            <w:r/>
          </w:p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2023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итогам третьего года реализации</w:t>
            </w:r>
            <w:r>
              <w:rPr>
                <w:sz w:val="22"/>
                <w:szCs w:val="22"/>
                <w:lang w:eastAsia="en-US"/>
              </w:rPr>
            </w:r>
            <w:r/>
          </w:p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2024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…….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>
          <w:trHeight w:val="110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Подпрограмма 1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eastAsia="en-US"/>
              </w:rPr>
              <w:t xml:space="preserve">«</w:t>
            </w:r>
            <w:r>
              <w:rPr>
                <w:b/>
                <w:sz w:val="22"/>
                <w:szCs w:val="22"/>
                <w:lang w:eastAsia="en-US"/>
              </w:rPr>
              <w:t xml:space="preserve">Энергосбережение и повышение энергетической эффективности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>
          <w:trHeight w:val="110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1, единица измерения</w:t>
            </w:r>
            <w:r>
              <w:rPr>
                <w:b/>
                <w:sz w:val="22"/>
                <w:szCs w:val="22"/>
              </w:rPr>
            </w:r>
            <w:r/>
          </w:p>
        </w:tc>
      </w:tr>
      <w:tr>
        <w:trPr>
          <w:cantSplit/>
          <w:gridAfter w:val="1"/>
          <w:trHeight w:val="65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10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gridAfter w:val="1"/>
          <w:trHeight w:val="109"/>
        </w:trPr>
        <w:tc>
          <w:tcPr>
            <w:gridSpan w:val="8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53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2</w:t>
            </w:r>
            <w:r>
              <w:rPr>
                <w:sz w:val="22"/>
                <w:szCs w:val="22"/>
                <w:lang w:eastAsia="en-US"/>
              </w:rPr>
              <w:t xml:space="preserve">, единица измерения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10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2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Актуализация схемы теплоснабжения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501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10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gridAfter w:val="1"/>
          <w:trHeight w:val="109"/>
        </w:trPr>
        <w:tc>
          <w:tcPr>
            <w:gridSpan w:val="8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53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3</w:t>
            </w:r>
            <w:r>
              <w:rPr>
                <w:sz w:val="22"/>
                <w:szCs w:val="22"/>
                <w:lang w:eastAsia="en-US"/>
              </w:rPr>
              <w:t xml:space="preserve">, единица измерения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10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У</w:t>
            </w:r>
            <w:r>
              <w:rPr>
                <w:sz w:val="20"/>
                <w:szCs w:val="20"/>
              </w:rPr>
              <w:t xml:space="preserve">становка</w:t>
            </w:r>
            <w:r>
              <w:rPr>
                <w:sz w:val="20"/>
                <w:szCs w:val="20"/>
              </w:rPr>
              <w:t xml:space="preserve"> АИТП</w:t>
            </w:r>
            <w:r>
              <w:rPr>
                <w:sz w:val="20"/>
                <w:szCs w:val="20"/>
              </w:rPr>
              <w:t xml:space="preserve"> с погодным и часовым регулированием в жилищном фонде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3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109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258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Подпрограмма 2        </w:t>
            </w:r>
            <w:r>
              <w:rPr>
                <w:b/>
                <w:sz w:val="22"/>
                <w:szCs w:val="22"/>
                <w:lang w:eastAsia="en-US"/>
              </w:rPr>
              <w:t xml:space="preserve">«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Газификация муниципального образования Кузнечнинское городское поселение»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>
          <w:trHeight w:val="258"/>
        </w:trPr>
        <w:tc>
          <w:tcPr>
            <w:gridSpan w:val="9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1, единица измерения</w:t>
            </w:r>
            <w:r>
              <w:rPr>
                <w:b/>
                <w:sz w:val="22"/>
                <w:szCs w:val="22"/>
              </w:rPr>
            </w:r>
            <w:r/>
          </w:p>
        </w:tc>
      </w:tr>
      <w:tr>
        <w:trPr>
          <w:cantSplit/>
          <w:gridAfter w:val="1"/>
          <w:trHeight w:val="46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Строительство  внутри поселкового распределительного газопровода  с подключением абонентов на территории п. Кузнечное газом  жилой застройки по адресу: пос. Кузнечное 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  <w:trHeight w:val="85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501"/>
              <w:ind w:firstLine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Подпрограмма 3     </w:t>
            </w:r>
            <w:r>
              <w:rPr>
                <w:b/>
                <w:sz w:val="22"/>
                <w:szCs w:val="22"/>
                <w:lang w:eastAsia="en-US"/>
              </w:rPr>
              <w:t xml:space="preserve">«Водоснабжение и водоотведение муниципального образования»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1, единица измерения</w:t>
            </w:r>
            <w:r>
              <w:rPr>
                <w:b/>
                <w:sz w:val="22"/>
                <w:szCs w:val="22"/>
              </w:rPr>
            </w:r>
            <w:r/>
          </w:p>
        </w:tc>
      </w:tr>
      <w:tr>
        <w:trPr>
          <w:cantSplit/>
          <w:gridAfter w:val="1"/>
          <w:trHeight w:val="86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«Строительство канализационно-очистных сооружений,  с реконструкцией канализационных насосных станций №1, №2, №3 и канализационных коллекторов расположенных на территории МО Кузнечнинское городское поселение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501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center"/>
            <w:textDirection w:val="lrTb"/>
            <w:noWrap w:val="false"/>
          </w:tcPr>
          <w:p>
            <w:pPr>
              <w:pStyle w:val="501"/>
              <w:ind w:firstLine="4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Подпрограмма 4     </w:t>
            </w:r>
            <w:r>
              <w:rPr>
                <w:b/>
                <w:sz w:val="22"/>
                <w:szCs w:val="22"/>
                <w:lang w:eastAsia="en-US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</w:t>
            </w:r>
            <w:r>
              <w:rPr>
                <w:b/>
                <w:sz w:val="22"/>
                <w:szCs w:val="22"/>
                <w:lang w:eastAsia="en-US"/>
              </w:rPr>
              <w:t xml:space="preserve">»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/>
        <w:tc>
          <w:tcPr>
            <w:gridSpan w:val="9"/>
            <w:tcBorders>
              <w:left w:val="single" w:color="000000" w:sz="4" w:space="0"/>
              <w:right w:val="single" w:color="000000" w:sz="4" w:space="0"/>
            </w:tcBorders>
            <w:tcW w:w="1554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Показатель 1, единица измерения тыс. руб.</w:t>
            </w:r>
            <w:r>
              <w:rPr>
                <w:b/>
                <w:sz w:val="22"/>
                <w:szCs w:val="22"/>
              </w:rPr>
            </w:r>
            <w:r/>
          </w:p>
        </w:tc>
      </w:tr>
      <w:tr>
        <w:trPr>
          <w:cantSplit/>
          <w:gridAfter w:val="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68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1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543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Возмещение затрат бани в п. Кузнечное</w:t>
            </w:r>
            <w:r>
              <w:rPr>
                <w:sz w:val="20"/>
                <w:szCs w:val="20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t xml:space="preserve">плановое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4300</w:t>
            </w:r>
            <w:r>
              <w:rPr>
                <w:lang w:eastAsia="en-US"/>
              </w:rPr>
              <w:t xml:space="preserve">,00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474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4300,00</w:t>
            </w:r>
            <w:r>
              <w:rPr>
                <w:lang w:eastAsia="en-US"/>
              </w:rPr>
            </w:r>
            <w:r/>
          </w:p>
        </w:tc>
      </w:tr>
      <w:tr>
        <w:trPr>
          <w:cantSplit/>
          <w:gridAfter w:val="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568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5" w:type="dxa"/>
            <w:vAlign w:val="top"/>
            <w:textDirection w:val="lrTb"/>
            <w:noWrap w:val="false"/>
          </w:tcPr>
          <w:p>
            <w:pPr>
              <w:pStyle w:val="472"/>
            </w:pPr>
            <w:r>
              <w:t xml:space="preserve">фактическое значение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05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  <w:t xml:space="preserve">нет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7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47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</w:tbl>
    <w:p>
      <w:pPr>
        <w:pStyle w:val="472"/>
        <w:ind w:firstLine="540"/>
        <w:jc w:val="both"/>
        <w:widowControl w:val="off"/>
        <w:rPr>
          <w:lang w:eastAsia="en-US"/>
        </w:rPr>
      </w:pPr>
      <w:r>
        <w:rPr>
          <w:lang w:eastAsia="en-US"/>
        </w:rPr>
      </w:r>
      <w:r/>
    </w:p>
    <w:p>
      <w:pPr>
        <w:pStyle w:val="472"/>
        <w:ind w:firstLine="540"/>
        <w:jc w:val="both"/>
        <w:widowControl w:val="off"/>
      </w:pPr>
      <w:r>
        <w:t xml:space="preserve">__________________________</w:t>
      </w:r>
      <w:r/>
    </w:p>
    <w:p>
      <w:pPr>
        <w:pStyle w:val="472"/>
        <w:ind w:firstLine="540"/>
        <w:jc w:val="both"/>
        <w:widowControl w:val="off"/>
        <w:sectPr>
          <w:footnotePr/>
          <w:endnotePr/>
          <w:type w:val="nextPage"/>
          <w:pgSz w:w="16840" w:h="11907" w:orient="landscape"/>
          <w:pgMar w:top="426" w:right="567" w:bottom="851" w:left="1134" w:header="567" w:footer="851" w:gutter="0"/>
          <w:pgNumType w:start="1"/>
          <w:cols w:num="1" w:sep="0" w:space="709" w:equalWidth="1"/>
          <w:docGrid w:linePitch="360"/>
          <w:titlePg/>
        </w:sectPr>
      </w:pPr>
      <w:r>
        <w:t xml:space="preserve">&lt;*&gt; При наличии в муниципальной программе подпрограмм целевые показатели формируются по каждой подпрограмме отдельно.</w:t>
      </w:r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</w:r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  <w:t xml:space="preserve">Таблица </w:t>
      </w:r>
      <w:r>
        <w:rPr>
          <w:color w:val="000000"/>
        </w:rPr>
        <w:t xml:space="preserve">3</w:t>
      </w:r>
      <w:r>
        <w:rPr>
          <w:color w:val="000000"/>
        </w:rPr>
      </w:r>
      <w:r/>
    </w:p>
    <w:p>
      <w:pPr>
        <w:pStyle w:val="472"/>
        <w:jc w:val="right"/>
        <w:widowControl w:val="off"/>
        <w:outlineLvl w:val="2"/>
      </w:pPr>
      <w:r/>
      <w:r/>
    </w:p>
    <w:p>
      <w:pPr>
        <w:pStyle w:val="472"/>
        <w:jc w:val="center"/>
        <w:rPr>
          <w:b/>
        </w:rPr>
      </w:pPr>
      <w:r>
        <w:rPr>
          <w:b/>
        </w:rPr>
        <w:t xml:space="preserve">Сведения о порядке сбора информации и методике расчета</w:t>
      </w:r>
      <w:r/>
    </w:p>
    <w:p>
      <w:pPr>
        <w:pStyle w:val="472"/>
        <w:jc w:val="center"/>
        <w:rPr>
          <w:b/>
        </w:rPr>
      </w:pPr>
      <w:r>
        <w:rPr>
          <w:b/>
        </w:rPr>
        <w:t xml:space="preserve">показателей (индикаторов) муниципальной программы</w:t>
      </w:r>
      <w:r/>
    </w:p>
    <w:p>
      <w:pPr>
        <w:pStyle w:val="472"/>
        <w:ind w:firstLine="540"/>
        <w:jc w:val="both"/>
        <w:rPr>
          <w:rFonts w:ascii="Calibri" w:hAnsi="Calibri"/>
        </w:rPr>
      </w:pPr>
      <w:r>
        <w:rPr>
          <w:rFonts w:ascii="Calibri" w:hAnsi="Calibri"/>
        </w:rPr>
      </w:r>
      <w:r/>
    </w:p>
    <w:tbl>
      <w:tblPr>
        <w:tblW w:w="14865" w:type="dxa"/>
        <w:tblInd w:w="0" w:type="dxa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8"/>
        <w:gridCol w:w="3118"/>
        <w:gridCol w:w="851"/>
        <w:gridCol w:w="1984"/>
        <w:gridCol w:w="2693"/>
        <w:gridCol w:w="1560"/>
        <w:gridCol w:w="1842"/>
        <w:gridCol w:w="2329"/>
      </w:tblGrid>
      <w:tr>
        <w:trPr>
          <w:trHeight w:val="106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N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Единица измерения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Временная характеристика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Алгоритм формирования/пункт Федерального плана статистических работ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предоставления отчетности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за сбор данных по показателю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Реквизиты акта</w:t>
            </w:r>
            <w:r/>
          </w:p>
        </w:tc>
      </w:tr>
      <w:tr>
        <w:trPr>
          <w:trHeight w:val="55"/>
          <w:tblHeader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/>
          </w:p>
        </w:tc>
      </w:tr>
      <w:tr>
        <w:trPr>
          <w:tblHeader/>
        </w:trPr>
        <w:tc>
          <w:tcPr>
            <w:gridSpan w:val="8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6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Подпрограмма 1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eastAsia="en-US"/>
              </w:rPr>
              <w:t xml:space="preserve">«</w:t>
            </w:r>
            <w:r>
              <w:rPr>
                <w:b/>
                <w:sz w:val="22"/>
                <w:szCs w:val="22"/>
                <w:lang w:eastAsia="en-US"/>
              </w:rPr>
              <w:t xml:space="preserve">Энергосбережение и повышение энергетической эффективности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36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автономных источников электроснабжения (дизель-генераторов) для резервного энергоснабжения объектов жизнеобеспечения населенных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</w:t>
            </w:r>
            <w:r>
              <w:rPr>
                <w:sz w:val="20"/>
                <w:szCs w:val="20"/>
              </w:rPr>
              <w:t xml:space="preserve"> течении года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Сметный расчет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Соглашение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4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Актуализация схемы теплоснабжения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Статистические данные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>
              <w:rPr>
                <w:sz w:val="20"/>
                <w:szCs w:val="20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Установка АИТП с погодным и часовым регулированием в жилищном фонде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мониторинг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Статистические данные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ежеквартально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Соглашение</w:t>
            </w:r>
            <w:r>
              <w:rPr>
                <w:sz w:val="20"/>
                <w:szCs w:val="20"/>
              </w:rPr>
            </w:r>
            <w:r/>
          </w:p>
        </w:tc>
      </w:tr>
      <w:tr>
        <w:trPr/>
        <w:tc>
          <w:tcPr>
            <w:gridSpan w:val="8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6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 xml:space="preserve">2  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  <w:lang w:eastAsia="en-US"/>
              </w:rPr>
              <w:t xml:space="preserve">«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Газификация муниципального образования Кузнечнинское городское поселение»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25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 внутри поселкового распределительного газопровода  с подключением абонентов на территории п. Кузнечное газом  жилой застройки по адресу: пос. Кузнечное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разово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shd w:val="clear" w:fill="FBFBFB" w:color="FBFBFB"/>
              </w:rPr>
              <w:t xml:space="preserve">предусмотрена газификация</w:t>
            </w:r>
            <w:r>
              <w:rPr>
                <w:color w:val="333333"/>
                <w:sz w:val="20"/>
                <w:szCs w:val="20"/>
                <w:shd w:val="clear" w:fill="FBFBFB" w:color="FBFBFB"/>
              </w:rPr>
              <w:t xml:space="preserve"> на</w:t>
            </w:r>
            <w:r>
              <w:rPr>
                <w:color w:val="333333"/>
                <w:sz w:val="20"/>
                <w:szCs w:val="20"/>
                <w:shd w:val="clear" w:fill="FBFBFB" w:color="FBFBFB"/>
              </w:rPr>
              <w:t xml:space="preserve"> </w:t>
            </w:r>
            <w:r>
              <w:rPr>
                <w:b/>
                <w:bCs/>
                <w:color w:val="333333"/>
                <w:sz w:val="20"/>
                <w:szCs w:val="20"/>
                <w:shd w:val="clear" w:fill="FBFBFB" w:color="FBFBFB"/>
              </w:rPr>
              <w:t xml:space="preserve">территории</w:t>
            </w:r>
            <w:r>
              <w:rPr>
                <w:color w:val="333333"/>
                <w:sz w:val="20"/>
                <w:szCs w:val="20"/>
                <w:shd w:val="clear" w:fill="FBFBFB" w:color="FBFBFB"/>
              </w:rPr>
              <w:t xml:space="preserve"> 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Соглашение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326"/>
        </w:trPr>
        <w:tc>
          <w:tcPr>
            <w:gridSpan w:val="8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6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Подпрограмма 3     </w:t>
            </w:r>
            <w:r>
              <w:rPr>
                <w:b/>
                <w:sz w:val="22"/>
                <w:szCs w:val="22"/>
                <w:lang w:eastAsia="en-US"/>
              </w:rPr>
              <w:t xml:space="preserve">«Водоснабжение и водоотведение муниципального образования»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7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новых канализационных очистных сооружений 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разово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Сметный расчет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ежеквартально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Соглашение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74"/>
        </w:trPr>
        <w:tc>
          <w:tcPr>
            <w:gridSpan w:val="8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865" w:type="dxa"/>
            <w:vAlign w:val="top"/>
            <w:textDirection w:val="lrTb"/>
            <w:noWrap w:val="false"/>
          </w:tcPr>
          <w:p>
            <w:pPr>
              <w:pStyle w:val="472"/>
              <w:jc w:val="center"/>
              <w:widowControl w:val="off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Подпрограмма 4     </w:t>
            </w:r>
            <w:r>
              <w:rPr>
                <w:b/>
                <w:sz w:val="22"/>
                <w:szCs w:val="22"/>
                <w:lang w:eastAsia="en-US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 муниципальной программы</w:t>
            </w:r>
            <w:r>
              <w:rPr>
                <w:b/>
                <w:sz w:val="22"/>
                <w:szCs w:val="22"/>
                <w:lang w:eastAsia="en-US"/>
              </w:rPr>
              <w:t xml:space="preserve">»</w:t>
            </w:r>
            <w:r>
              <w:rPr>
                <w:sz w:val="22"/>
                <w:szCs w:val="22"/>
                <w:lang w:eastAsia="en-US"/>
              </w:rPr>
            </w:r>
            <w:r/>
          </w:p>
        </w:tc>
      </w:tr>
      <w:tr>
        <w:trPr>
          <w:trHeight w:val="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" w:type="dxa"/>
            <w:vAlign w:val="top"/>
            <w:textDirection w:val="lrTb"/>
            <w:noWrap w:val="false"/>
          </w:tcPr>
          <w:p>
            <w:pPr>
              <w:pStyle w:val="472"/>
              <w:jc w:val="both"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118" w:type="dxa"/>
            <w:vAlign w:val="top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Возмещение затрат бани в п. Кузнечное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Статистические данные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ежегодно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главы администрации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2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Отсутствует</w:t>
            </w:r>
            <w:r/>
          </w:p>
        </w:tc>
      </w:tr>
    </w:tbl>
    <w:p>
      <w:pPr>
        <w:pStyle w:val="472"/>
        <w:jc w:val="right"/>
        <w:widowControl w:val="off"/>
        <w:sectPr>
          <w:footnotePr/>
          <w:endnotePr/>
          <w:type w:val="nextPage"/>
          <w:pgSz w:w="16840" w:h="11907" w:orient="landscape"/>
          <w:pgMar w:top="142" w:right="567" w:bottom="1134" w:left="1134" w:header="567" w:footer="851" w:gutter="0"/>
          <w:pgNumType w:start="1"/>
          <w:cols w:num="1" w:sep="0" w:space="709" w:equalWidth="1"/>
          <w:docGrid w:linePitch="360"/>
          <w:titlePg/>
        </w:sectPr>
        <w:outlineLvl w:val="2"/>
      </w:pPr>
      <w:r/>
      <w:r/>
    </w:p>
    <w:p>
      <w:pPr>
        <w:pStyle w:val="472"/>
        <w:jc w:val="right"/>
        <w:widowControl w:val="off"/>
      </w:pPr>
      <w:r>
        <w:t xml:space="preserve">Таблица 4</w:t>
      </w:r>
      <w:r/>
    </w:p>
    <w:p>
      <w:pPr>
        <w:pStyle w:val="472"/>
        <w:jc w:val="center"/>
        <w:widowControl w:val="off"/>
        <w:rPr>
          <w:b/>
          <w:caps/>
        </w:rPr>
      </w:pPr>
      <w:r>
        <w:rPr>
          <w:b/>
          <w:caps/>
        </w:rPr>
        <w:t xml:space="preserve">План реализации</w:t>
      </w:r>
      <w:r/>
    </w:p>
    <w:p>
      <w:pPr>
        <w:pStyle w:val="472"/>
        <w:jc w:val="center"/>
        <w:widowControl w:val="off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муниципальной программы</w:t>
      </w:r>
      <w:r>
        <w:rPr>
          <w:b/>
          <w:caps/>
          <w:sz w:val="20"/>
          <w:szCs w:val="20"/>
        </w:rPr>
        <w:t xml:space="preserve"> </w:t>
      </w:r>
      <w:r/>
    </w:p>
    <w:p>
      <w:pPr>
        <w:pStyle w:val="472"/>
        <w:jc w:val="center"/>
        <w:widowControl w:val="off"/>
        <w:rPr>
          <w:b/>
        </w:rPr>
      </w:pPr>
      <w:r>
        <w:rPr>
          <w:b/>
        </w:rPr>
        <w:t xml:space="preserve">«Обеспечение устойчивого функционирования и развития коммунальной</w:t>
      </w:r>
      <w:r>
        <w:rPr>
          <w:b/>
          <w:caps/>
          <w:sz w:val="20"/>
          <w:szCs w:val="20"/>
        </w:rPr>
        <w:t xml:space="preserve"> </w:t>
      </w:r>
      <w:r>
        <w:rPr>
          <w:b/>
        </w:rPr>
        <w:t xml:space="preserve">и инженерной инфраструктуры и повышение энергоэффективности в МО Кузнечнинское</w:t>
      </w:r>
      <w:r>
        <w:rPr>
          <w:b/>
        </w:rPr>
        <w:t xml:space="preserve"> </w:t>
      </w:r>
      <w:r>
        <w:rPr>
          <w:b/>
        </w:rPr>
        <w:t xml:space="preserve">городское поселение МО Приозерский муниципальный район</w:t>
      </w:r>
      <w:r>
        <w:rPr>
          <w:b/>
          <w:caps/>
          <w:sz w:val="20"/>
          <w:szCs w:val="20"/>
        </w:rPr>
        <w:t xml:space="preserve"> </w:t>
      </w:r>
      <w:r>
        <w:rPr>
          <w:b/>
        </w:rPr>
        <w:t xml:space="preserve">Ленинградской</w:t>
      </w:r>
      <w:r>
        <w:rPr>
          <w:b/>
        </w:rPr>
      </w:r>
      <w:r/>
    </w:p>
    <w:p>
      <w:pPr>
        <w:pStyle w:val="472"/>
        <w:jc w:val="center"/>
        <w:widowControl w:val="off"/>
        <w:rPr>
          <w:b/>
          <w:caps/>
          <w:sz w:val="20"/>
          <w:szCs w:val="20"/>
        </w:rPr>
      </w:pPr>
      <w:r>
        <w:rPr>
          <w:b/>
        </w:rPr>
        <w:t xml:space="preserve">области </w:t>
      </w:r>
      <w:r>
        <w:rPr>
          <w:b/>
        </w:rPr>
        <w:t xml:space="preserve">на 2022</w:t>
      </w:r>
      <w:r>
        <w:rPr>
          <w:b/>
        </w:rPr>
        <w:t xml:space="preserve">-</w:t>
      </w:r>
      <w:r>
        <w:rPr>
          <w:b/>
        </w:rPr>
        <w:t xml:space="preserve">2024</w:t>
      </w:r>
      <w:r>
        <w:rPr>
          <w:b/>
        </w:rPr>
        <w:t xml:space="preserve"> годы»</w:t>
      </w:r>
      <w:r>
        <w:rPr>
          <w:b/>
          <w:caps/>
          <w:sz w:val="20"/>
          <w:szCs w:val="20"/>
        </w:rPr>
      </w:r>
      <w:r/>
    </w:p>
    <w:tbl>
      <w:tblPr>
        <w:tblW w:w="15466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59"/>
        <w:gridCol w:w="2977"/>
        <w:gridCol w:w="1559"/>
        <w:gridCol w:w="1559"/>
        <w:gridCol w:w="1418"/>
        <w:gridCol w:w="1276"/>
        <w:gridCol w:w="1559"/>
        <w:gridCol w:w="1559"/>
      </w:tblGrid>
      <w:tr>
        <w:trPr>
          <w:cantSplit/>
          <w:trHeight w:val="495"/>
        </w:trPr>
        <w:tc>
          <w:tcPr>
            <w:shd w:val="clear" w:fill="FFFFFF" w:color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государственной программы, подпрограммы</w:t>
            </w:r>
            <w:r>
              <w:rPr>
                <w:color w:val="000000"/>
                <w:sz w:val="20"/>
                <w:szCs w:val="20"/>
              </w:rPr>
              <w:t xml:space="preserve">, структурного элемента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/>
          </w:p>
        </w:tc>
        <w:tc>
          <w:tcPr>
            <w:shd w:val="clear" w:fill="FFFFFF" w:color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исполнитель, соисполнитель, участник</w:t>
            </w:r>
            <w:r/>
          </w:p>
        </w:tc>
        <w:tc>
          <w:tcPr>
            <w:shd w:val="clear" w:fill="FFFFFF" w:color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Годы реализации</w:t>
            </w:r>
            <w:r/>
          </w:p>
        </w:tc>
        <w:tc>
          <w:tcPr>
            <w:gridSpan w:val="5"/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71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Оценка расходов (тыс. руб. в ценах соответствующих лет)</w:t>
            </w:r>
            <w:r/>
          </w:p>
        </w:tc>
      </w:tr>
      <w:tr>
        <w:trPr>
          <w:cantSplit/>
          <w:trHeight w:val="51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всего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местный</w:t>
            </w:r>
            <w:r>
              <w:rPr>
                <w:color w:val="000000"/>
                <w:sz w:val="20"/>
                <w:szCs w:val="20"/>
              </w:rPr>
              <w:t xml:space="preserve"> бюджет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прочие источники</w:t>
            </w:r>
            <w:r/>
          </w:p>
        </w:tc>
      </w:tr>
    </w:tbl>
    <w:p>
      <w:pPr>
        <w:pStyle w:val="472"/>
        <w:rPr>
          <w:sz w:val="4"/>
          <w:szCs w:val="4"/>
        </w:rPr>
      </w:pPr>
      <w:r>
        <w:rPr>
          <w:sz w:val="4"/>
          <w:szCs w:val="4"/>
        </w:rPr>
      </w:r>
      <w:r/>
    </w:p>
    <w:tbl>
      <w:tblPr>
        <w:tblW w:w="15479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59"/>
        <w:gridCol w:w="2977"/>
        <w:gridCol w:w="1559"/>
        <w:gridCol w:w="1559"/>
        <w:gridCol w:w="1418"/>
        <w:gridCol w:w="1276"/>
        <w:gridCol w:w="1559"/>
        <w:gridCol w:w="1559"/>
        <w:gridCol w:w="13"/>
      </w:tblGrid>
      <w:tr>
        <w:trPr>
          <w:gridAfter w:val="1"/>
          <w:trHeight w:val="300"/>
          <w:tblHeader/>
        </w:trPr>
        <w:tc>
          <w:tcPr>
            <w:shd w:val="clear" w:fill="FFFFFF" w:color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/>
          </w:p>
        </w:tc>
      </w:tr>
      <w:tr>
        <w:trPr>
          <w:cantSplit/>
          <w:gridAfter w:val="1"/>
          <w:trHeight w:val="949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shd w:val="clear" w:fill="FFFFFF" w:color="FFFFFF"/>
              <w:widowControl w:val="off"/>
              <w:tabs>
                <w:tab w:val="left" w:pos="0" w:leader="none"/>
              </w:tabs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Программа </w:t>
            </w:r>
            <w:r>
              <w:rPr>
                <w:b/>
                <w:sz w:val="20"/>
                <w:szCs w:val="20"/>
              </w:rPr>
              <w:t xml:space="preserve">«Обеспечение устойчивого функционирования и развития коммунальной</w:t>
            </w:r>
            <w:r/>
          </w:p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 инженерной инфраструктуры и повышение энергоэффективности в МО Кузнечнинское</w:t>
            </w:r>
            <w:r/>
          </w:p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городское поселение МО Приозерский муниципальный район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Ленинградской области на 2022-2024 годы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</w:t>
            </w:r>
            <w:r>
              <w:rPr>
                <w:sz w:val="20"/>
                <w:szCs w:val="20"/>
              </w:rPr>
              <w:t xml:space="preserve">ьный район ЛО</w:t>
            </w:r>
            <w:r>
              <w:rPr>
                <w:sz w:val="20"/>
                <w:szCs w:val="20"/>
              </w:rPr>
              <w:t xml:space="preserve">;</w:t>
            </w:r>
            <w:r>
              <w:rPr>
                <w:sz w:val="20"/>
                <w:szCs w:val="20"/>
                <w:lang w:eastAsia="ar-SA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150656,6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7450,0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143206,6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836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718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gridAfter w:val="1"/>
          <w:trHeight w:val="249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Итого по </w:t>
            </w:r>
            <w:r>
              <w:rPr>
                <w:b/>
                <w:color w:val="000000"/>
                <w:sz w:val="20"/>
                <w:szCs w:val="20"/>
              </w:rPr>
              <w:t xml:space="preserve">муниципальной</w:t>
            </w:r>
            <w:r>
              <w:rPr>
                <w:b/>
                <w:color w:val="000000"/>
                <w:sz w:val="20"/>
                <w:szCs w:val="20"/>
              </w:rPr>
              <w:t xml:space="preserve"> программе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150 956,6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576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Подпрограмма 1</w:t>
            </w:r>
            <w:r>
              <w:rPr>
                <w:b/>
                <w:color w:val="000000"/>
                <w:sz w:val="20"/>
                <w:szCs w:val="20"/>
                <w:u w:val="single"/>
              </w:rPr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"</w:t>
            </w:r>
            <w:r>
              <w:rPr>
                <w:b/>
                <w:sz w:val="20"/>
                <w:szCs w:val="20"/>
              </w:rPr>
              <w:t xml:space="preserve">Энергосбережение и повышение энергетической эффективности» 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sz w:val="20"/>
                <w:szCs w:val="20"/>
                <w:lang w:eastAsia="ar-SA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150,0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150,0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486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73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gridAfter w:val="1"/>
          <w:trHeight w:val="373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Итого по подпрограмме </w:t>
            </w:r>
            <w:r>
              <w:rPr>
                <w:b/>
                <w:color w:val="000000"/>
                <w:sz w:val="20"/>
                <w:szCs w:val="20"/>
              </w:rPr>
              <w:t xml:space="preserve">1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>
              <w:rPr>
                <w:b/>
                <w:color w:val="000000"/>
                <w:sz w:val="20"/>
                <w:szCs w:val="20"/>
              </w:rPr>
              <w:t xml:space="preserve">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450,0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150,0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gridAfter w:val="1"/>
          <w:trHeight w:val="373"/>
        </w:trPr>
        <w:tc>
          <w:tcPr>
            <w:gridSpan w:val="8"/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/>
          </w:p>
          <w:p>
            <w:pPr>
              <w:pStyle w:val="4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Процессная часть </w:t>
            </w:r>
            <w:r>
              <w:rPr>
                <w:b/>
                <w:bCs/>
                <w:color w:val="000000"/>
              </w:rPr>
            </w:r>
            <w:r/>
          </w:p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13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Мероприятия, направленные на достижение целей</w:t>
            </w:r>
            <w:r>
              <w:rPr>
                <w:sz w:val="22"/>
                <w:szCs w:val="22"/>
              </w:rPr>
              <w:t xml:space="preserve"> коммунального хозяйства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«</w:t>
            </w:r>
            <w:r>
              <w:rPr>
                <w:sz w:val="20"/>
                <w:szCs w:val="20"/>
              </w:rPr>
              <w:t xml:space="preserve">Энергосбережение и повышение энергетической эффективности»</w:t>
            </w:r>
            <w:r/>
          </w:p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ТЭК Администрации ЛО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17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06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159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450,0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811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Подпрограмма 2</w:t>
            </w:r>
            <w:r/>
          </w:p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«Газификация муниципального образования Кузнечнинское городское пос</w:t>
            </w:r>
            <w:r>
              <w:rPr>
                <w:b/>
                <w:sz w:val="20"/>
                <w:szCs w:val="20"/>
              </w:rPr>
              <w:t xml:space="preserve">еление» </w:t>
            </w:r>
            <w:r>
              <w:rPr>
                <w:b/>
                <w:sz w:val="20"/>
                <w:szCs w:val="20"/>
              </w:rPr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11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281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gridAfter w:val="1"/>
          <w:trHeight w:val="407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Итого по подпрограмме </w:t>
            </w:r>
            <w:r>
              <w:rPr>
                <w:b/>
                <w:color w:val="000000"/>
                <w:sz w:val="20"/>
                <w:szCs w:val="20"/>
              </w:rPr>
              <w:t xml:space="preserve">2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26 179,0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26 179,0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gridAfter w:val="1"/>
          <w:trHeight w:val="754"/>
        </w:trPr>
        <w:tc>
          <w:tcPr>
            <w:gridSpan w:val="8"/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Проектная часть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407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Мероприятия, направленные на достижение целей федерального проекта «Содействие развития инфраструктуры субъектов Российской Федерации Муниципальных образований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ТЭК Администрации ЛО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07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07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407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26 179,0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555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Подпрограмма 3</w:t>
            </w:r>
            <w:r/>
          </w:p>
          <w:p>
            <w:pPr>
              <w:pStyle w:val="47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«Водоснабжение и водоотведение муниципального образования</w:t>
            </w:r>
            <w:r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color w:val="000000"/>
                <w:sz w:val="22"/>
                <w:szCs w:val="22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top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Комитет по ЖКХ Администрации ЛО</w:t>
            </w:r>
            <w:r>
              <w:rPr>
                <w:b/>
                <w:sz w:val="20"/>
                <w:szCs w:val="20"/>
              </w:rPr>
              <w:t xml:space="preserve"> </w:t>
            </w:r>
            <w:r/>
          </w:p>
          <w:p>
            <w:pPr>
              <w:pStyle w:val="47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690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00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gridAfter w:val="1"/>
          <w:trHeight w:val="314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Итого по подпрограмме 3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gridAfter w:val="1"/>
          <w:trHeight w:val="314"/>
        </w:trPr>
        <w:tc>
          <w:tcPr>
            <w:gridSpan w:val="8"/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46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 xml:space="preserve">Проектная часть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14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Мероприятия, направленные на достижение целей федерального проекта</w:t>
            </w:r>
            <w:r>
              <w:rPr>
                <w:sz w:val="20"/>
                <w:szCs w:val="20"/>
              </w:rPr>
              <w:t xml:space="preserve"> «Чистая вода»»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314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314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239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117 027,6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cantSplit/>
          <w:gridAfter w:val="1"/>
          <w:trHeight w:val="548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</w:tcBorders>
            <w:tcW w:w="3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 xml:space="preserve">Подпрограмма 4</w:t>
            </w:r>
            <w:r/>
          </w:p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«Поддержка преобразований в жилищно-коммунальной сфере на территории муниципального образования в целях обеспечения бытового обслуживания населения, отвечающего стандартам качества бытового обслуживания</w:t>
            </w:r>
            <w:r>
              <w:rPr>
                <w:b/>
                <w:sz w:val="20"/>
                <w:szCs w:val="20"/>
              </w:rPr>
              <w:t xml:space="preserve">»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ЛО;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591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953"/>
        </w:trPr>
        <w:tc>
          <w:tcPr>
            <w:shd w:val="clear" w:fill="FFFFFF" w:color="FFFFFF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</w:tr>
      <w:tr>
        <w:trPr>
          <w:gridAfter w:val="1"/>
          <w:trHeight w:val="300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Итого по подпрограмме </w:t>
            </w:r>
            <w:r>
              <w:rPr>
                <w:b/>
                <w:color w:val="000000"/>
                <w:sz w:val="20"/>
                <w:szCs w:val="20"/>
              </w:rPr>
              <w:t xml:space="preserve">4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47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 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  <w:tr>
        <w:trPr>
          <w:trHeight w:val="450"/>
        </w:trPr>
        <w:tc>
          <w:tcPr>
            <w:gridSpan w:val="9"/>
            <w:shd w:val="clear" w:fill="FFFFFF" w:color="FFFFFF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547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Процессная часть</w:t>
            </w:r>
            <w:r/>
          </w:p>
        </w:tc>
      </w:tr>
      <w:tr>
        <w:trPr>
          <w:cantSplit/>
          <w:gridAfter w:val="1"/>
          <w:trHeight w:val="300"/>
        </w:trPr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Комплекс процессных мероприятий «поддержка преобразований в жилищно-коммунальной сфере на территории Ленинградской области для обеспечения условий проживания населения»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restart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</w:t>
            </w:r>
            <w:r>
              <w:rPr>
                <w:sz w:val="20"/>
                <w:szCs w:val="20"/>
              </w:rPr>
              <w:t xml:space="preserve">ьный район ЛО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2022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7 300,0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7 300,0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0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2023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91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</w:tr>
      <w:tr>
        <w:trPr>
          <w:cantSplit/>
          <w:gridAfter w:val="1"/>
          <w:trHeight w:val="30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3559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77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2022-2024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7 300,0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>
              <w:rPr>
                <w:b/>
                <w:color w:val="000000"/>
                <w:sz w:val="20"/>
                <w:szCs w:val="20"/>
              </w:rPr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47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</w:t>
            </w:r>
            <w:r/>
          </w:p>
        </w:tc>
      </w:tr>
    </w:tbl>
    <w:p>
      <w:pPr>
        <w:pStyle w:val="501"/>
        <w:ind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501"/>
        <w:ind w:firstLine="540"/>
        <w:jc w:val="both"/>
        <w:spacing w:before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&lt;1&gt; Для уровня муниципальной программы указывается ответственный исполнитель, подпрограммы - соисполнитель, мероприятия, проекта – исполнитель/участник (при наличии).</w:t>
      </w:r>
      <w:r/>
    </w:p>
    <w:p>
      <w:pPr>
        <w:pStyle w:val="472"/>
        <w:jc w:val="right"/>
        <w:widowControl w:val="off"/>
        <w:outlineLvl w:val="2"/>
      </w:pPr>
      <w:r/>
      <w:r/>
    </w:p>
    <w:p>
      <w:pPr>
        <w:pStyle w:val="472"/>
        <w:jc w:val="right"/>
        <w:widowControl w:val="off"/>
        <w:sectPr>
          <w:footnotePr/>
          <w:endnotePr/>
          <w:type w:val="nextPage"/>
          <w:pgSz w:w="16840" w:h="11907" w:orient="landscape"/>
          <w:pgMar w:top="426" w:right="567" w:bottom="709" w:left="1134" w:header="567" w:footer="851" w:gutter="0"/>
          <w:pgNumType w:start="1"/>
          <w:cols w:num="1" w:sep="0" w:space="709" w:equalWidth="1"/>
          <w:docGrid w:linePitch="360"/>
          <w:titlePg/>
        </w:sectPr>
        <w:outlineLvl w:val="2"/>
      </w:pPr>
      <w:r/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  <w:t xml:space="preserve">Приложение 1</w:t>
      </w:r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  <w:t xml:space="preserve">к Методическим указаниям</w:t>
      </w:r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  <w:t xml:space="preserve">Таблица </w:t>
      </w:r>
      <w:r>
        <w:rPr>
          <w:color w:val="000000"/>
        </w:rPr>
        <w:t xml:space="preserve">5</w:t>
      </w:r>
      <w:r/>
    </w:p>
    <w:p>
      <w:pPr>
        <w:pStyle w:val="472"/>
        <w:ind w:firstLine="540"/>
        <w:jc w:val="right"/>
        <w:widowControl w:val="off"/>
        <w:rPr>
          <w:color w:val="000000"/>
        </w:rPr>
      </w:pPr>
      <w:r>
        <w:rPr>
          <w:color w:val="000000"/>
        </w:rPr>
      </w:r>
      <w:r/>
    </w:p>
    <w:p>
      <w:pPr>
        <w:pStyle w:val="5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налоговых расходах местного бюджета,</w:t>
      </w:r>
      <w:r/>
    </w:p>
    <w:p>
      <w:pPr>
        <w:pStyle w:val="50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направленных на достижение цели муниципальной программы </w:t>
      </w:r>
      <w:r/>
    </w:p>
    <w:p>
      <w:pPr>
        <w:pStyle w:val="5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63"/>
        <w:gridCol w:w="1843"/>
        <w:gridCol w:w="1985"/>
        <w:gridCol w:w="1984"/>
        <w:gridCol w:w="1559"/>
        <w:gridCol w:w="1560"/>
        <w:gridCol w:w="1417"/>
        <w:gridCol w:w="1559"/>
        <w:gridCol w:w="1560"/>
      </w:tblGrid>
      <w:tr>
        <w:trPr/>
        <w:tc>
          <w:tcPr>
            <w:tcW w:w="1763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налога, по которому предусматривается налоговая льгота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Реквизиты нормативного правового акта, устанавливающего налоговую льготу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Целевая категория налогоплательщиков</w:t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 достижения целей госпрограммы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Финансовый год </w:t>
            </w:r>
            <w:r/>
          </w:p>
        </w:tc>
        <w:tc>
          <w:tcPr>
            <w:gridSpan w:val="2"/>
            <w:tcW w:w="2977" w:type="dxa"/>
            <w:vAlign w:val="top"/>
            <w:textDirection w:val="lrTb"/>
            <w:noWrap w:val="false"/>
          </w:tcPr>
          <w:p>
            <w:pPr>
              <w:pStyle w:val="501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плательщиков налога, воспользовавшихся льготой (ед.)</w:t>
            </w:r>
            <w:r/>
          </w:p>
        </w:tc>
        <w:tc>
          <w:tcPr>
            <w:gridSpan w:val="2"/>
            <w:tcW w:w="3119" w:type="dxa"/>
            <w:vAlign w:val="top"/>
            <w:textDirection w:val="lrTb"/>
            <w:noWrap w:val="false"/>
          </w:tcPr>
          <w:p>
            <w:pPr>
              <w:pStyle w:val="501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налогового расхода (тыс. руб.) </w:t>
            </w:r>
            <w:r/>
          </w:p>
        </w:tc>
      </w:tr>
      <w:tr>
        <w:trPr/>
        <w:tc>
          <w:tcPr>
            <w:tcW w:w="1763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bookmarkStart w:id="1" w:name="P1328"/>
            <w:r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bookmarkStart w:id="2" w:name="P1331"/>
            <w:r/>
            <w:bookmarkEnd w:id="2"/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bookmarkStart w:id="3" w:name="P1332"/>
            <w:r/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gridSpan w:val="2"/>
            <w:tcW w:w="2977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bookmarkStart w:id="4" w:name="P1333"/>
            <w:r/>
            <w:bookmarkEnd w:id="4"/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gridSpan w:val="2"/>
            <w:tcW w:w="311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bookmarkStart w:id="5" w:name="P1334"/>
            <w:r/>
            <w:bookmarkEnd w:id="5"/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/>
          </w:p>
        </w:tc>
      </w:tr>
      <w:tr>
        <w:trPr/>
        <w:tc>
          <w:tcPr>
            <w:tcW w:w="1763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1763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1763" w:type="dxa"/>
            <w:vAlign w:val="top"/>
            <w:vMerge w:val="restart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843" w:type="dxa"/>
            <w:vAlign w:val="top"/>
            <w:vMerge w:val="restart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5" w:type="dxa"/>
            <w:vAlign w:val="top"/>
            <w:vMerge w:val="restart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501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Плановое значение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Плановое значение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  <w:tr>
        <w:trPr>
          <w:cantSplit/>
        </w:trPr>
        <w:tc>
          <w:tcPr>
            <w:tcW w:w="176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</w:pPr>
            <w:r/>
            <w:r/>
          </w:p>
        </w:tc>
        <w:tc>
          <w:tcPr>
            <w:tcW w:w="1843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</w:pPr>
            <w:r/>
            <w:r/>
          </w:p>
        </w:tc>
        <w:tc>
          <w:tcPr>
            <w:tcW w:w="1985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</w:pPr>
            <w:r/>
            <w:r/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</w:pPr>
            <w:r/>
            <w:r/>
          </w:p>
        </w:tc>
        <w:tc>
          <w:tcPr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472"/>
            </w:pPr>
            <w:r/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5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Фактическое значение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5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472"/>
        <w:jc w:val="right"/>
        <w:widowControl w:val="off"/>
        <w:sectPr>
          <w:footnotePr/>
          <w:endnotePr/>
          <w:type w:val="nextPage"/>
          <w:pgSz w:w="16840" w:h="11907" w:orient="landscape"/>
          <w:pgMar w:top="426" w:right="567" w:bottom="1134" w:left="1134" w:header="567" w:footer="851" w:gutter="0"/>
          <w:pgNumType w:start="1"/>
          <w:cols w:num="1" w:sep="0" w:space="709" w:equalWidth="1"/>
          <w:docGrid w:linePitch="360"/>
          <w:titlePg/>
        </w:sectPr>
        <w:outlineLvl w:val="2"/>
      </w:pPr>
      <w:r/>
      <w:r/>
    </w:p>
    <w:p>
      <w:pPr>
        <w:pStyle w:val="472"/>
        <w:jc w:val="right"/>
        <w:widowControl w:val="off"/>
        <w:outlineLvl w:val="2"/>
      </w:pPr>
      <w:r>
        <w:t xml:space="preserve">Приложение 1</w:t>
      </w:r>
      <w:r/>
    </w:p>
    <w:p>
      <w:pPr>
        <w:pStyle w:val="472"/>
        <w:jc w:val="right"/>
        <w:widowControl w:val="off"/>
        <w:rPr>
          <w:b/>
        </w:rPr>
        <w:outlineLvl w:val="2"/>
      </w:pPr>
      <w:r>
        <w:t xml:space="preserve">к Методическим указаниям</w:t>
      </w:r>
      <w:r>
        <w:rPr>
          <w:b/>
        </w:rPr>
      </w:r>
      <w:r/>
    </w:p>
    <w:p>
      <w:pPr>
        <w:pStyle w:val="472"/>
        <w:jc w:val="right"/>
        <w:widowControl w:val="off"/>
        <w:outlineLvl w:val="2"/>
      </w:pPr>
      <w:r>
        <w:t xml:space="preserve">Таблица </w:t>
      </w:r>
      <w:r>
        <w:t xml:space="preserve">6</w:t>
      </w:r>
      <w:r/>
    </w:p>
    <w:p>
      <w:pPr>
        <w:pStyle w:val="472"/>
        <w:jc w:val="right"/>
        <w:widowControl w:val="off"/>
        <w:outlineLvl w:val="2"/>
      </w:pPr>
      <w:r/>
      <w:r/>
    </w:p>
    <w:p>
      <w:pPr>
        <w:pStyle w:val="472"/>
        <w:jc w:val="center"/>
        <w:widowControl w:val="off"/>
      </w:pPr>
      <w:r>
        <w:t xml:space="preserve">Информация</w:t>
      </w:r>
      <w:r/>
    </w:p>
    <w:p>
      <w:pPr>
        <w:pStyle w:val="472"/>
        <w:jc w:val="center"/>
        <w:widowControl w:val="off"/>
      </w:pPr>
      <w:r>
        <w:t xml:space="preserve">о ходе реализации муниципальной программы /подпрограммы</w:t>
      </w:r>
      <w:r/>
    </w:p>
    <w:p>
      <w:pPr>
        <w:pStyle w:val="472"/>
        <w:jc w:val="center"/>
        <w:widowControl w:val="off"/>
      </w:pPr>
      <w:r>
        <w:t xml:space="preserve">«наименование программы /подпрограммы»</w:t>
      </w:r>
      <w:r/>
    </w:p>
    <w:p>
      <w:pPr>
        <w:pStyle w:val="472"/>
        <w:jc w:val="center"/>
        <w:widowControl w:val="off"/>
      </w:pPr>
      <w:r>
        <w:t xml:space="preserve">Финансирование мероприятий муниципальной программы/подпрограммы</w:t>
      </w:r>
      <w:r/>
    </w:p>
    <w:p>
      <w:pPr>
        <w:pStyle w:val="472"/>
        <w:ind w:firstLine="540"/>
        <w:jc w:val="right"/>
        <w:widowControl w:val="off"/>
        <w:rPr>
          <w:b/>
          <w:lang w:eastAsia="en-US"/>
        </w:rPr>
      </w:pPr>
      <w:r>
        <w:rPr>
          <w:b/>
          <w:lang w:eastAsia="en-US"/>
        </w:rPr>
      </w:r>
      <w:r/>
    </w:p>
    <w:p>
      <w:pPr>
        <w:pStyle w:val="495"/>
        <w:ind w:left="0"/>
        <w:jc w:val="center"/>
        <w:widowControl w:val="off"/>
      </w:pPr>
      <w:r>
        <w:t xml:space="preserve">1. Выполнение плана мероприятий</w:t>
      </w:r>
      <w:r/>
    </w:p>
    <w:p>
      <w:pPr>
        <w:pStyle w:val="472"/>
        <w:jc w:val="center"/>
        <w:widowControl w:val="off"/>
        <w:rPr>
          <w:i/>
          <w:u w:val="single"/>
        </w:rPr>
      </w:pPr>
      <w:r>
        <w:rPr>
          <w:i/>
          <w:u w:val="single"/>
        </w:rPr>
        <w:t xml:space="preserve">(ежеквартально нарастающим итогом)</w:t>
      </w:r>
      <w:r/>
    </w:p>
    <w:p>
      <w:pPr>
        <w:pStyle w:val="472"/>
        <w:ind w:firstLine="540"/>
        <w:jc w:val="both"/>
        <w:widowControl w:val="off"/>
      </w:pPr>
      <w:r/>
      <w:r/>
    </w:p>
    <w:p>
      <w:pPr>
        <w:pStyle w:val="472"/>
        <w:ind w:firstLine="709"/>
        <w:jc w:val="both"/>
        <w:widowControl w:val="off"/>
      </w:pPr>
      <w:r>
        <w:t xml:space="preserve">за период ______________________</w:t>
      </w:r>
      <w:r/>
    </w:p>
    <w:p>
      <w:pPr>
        <w:pStyle w:val="472"/>
        <w:ind w:firstLine="540"/>
        <w:jc w:val="both"/>
        <w:widowControl w:val="off"/>
      </w:pPr>
      <w:r/>
      <w:r/>
    </w:p>
    <w:tbl>
      <w:tblPr>
        <w:tblW w:w="15168" w:type="dxa"/>
        <w:tblInd w:w="75" w:type="dxa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>
        <w:trPr>
          <w:cantSplit/>
          <w:trHeight w:val="8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56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плановых мероприятий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00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Финансирование мероприятий - всего и с выделением источников финансирования (тыс. рублей)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251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исполнение плановых мероприятий в отчетном периоде, примечания</w:t>
            </w:r>
            <w:r/>
          </w:p>
        </w:tc>
      </w:tr>
      <w:tr>
        <w:trPr>
          <w:cantSplit/>
          <w:trHeight w:val="6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356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88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текущий год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отчетный период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251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356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88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2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35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889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251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</w:tbl>
    <w:p>
      <w:pPr>
        <w:pStyle w:val="472"/>
        <w:jc w:val="center"/>
        <w:widowControl w:val="off"/>
      </w:pPr>
      <w:r/>
      <w:r/>
    </w:p>
    <w:p>
      <w:pPr>
        <w:pStyle w:val="495"/>
        <w:ind w:left="0"/>
        <w:jc w:val="center"/>
        <w:widowControl w:val="off"/>
      </w:pPr>
      <w:r>
        <w:t xml:space="preserve">2.Достижение целевых показателей</w:t>
      </w:r>
      <w:r/>
    </w:p>
    <w:p>
      <w:pPr>
        <w:pStyle w:val="472"/>
        <w:jc w:val="center"/>
        <w:widowControl w:val="off"/>
        <w:rPr>
          <w:i/>
          <w:u w:val="single"/>
        </w:rPr>
      </w:pPr>
      <w:r>
        <w:rPr>
          <w:i/>
          <w:u w:val="single"/>
        </w:rPr>
        <w:t xml:space="preserve">(ежегодно нарастающим итогом)</w:t>
      </w:r>
      <w:r/>
    </w:p>
    <w:p>
      <w:pPr>
        <w:pStyle w:val="472"/>
        <w:ind w:firstLine="540"/>
        <w:jc w:val="both"/>
        <w:widowControl w:val="off"/>
      </w:pPr>
      <w:r/>
      <w:r/>
    </w:p>
    <w:p>
      <w:pPr>
        <w:pStyle w:val="472"/>
        <w:ind w:firstLine="709"/>
        <w:jc w:val="both"/>
        <w:widowControl w:val="off"/>
      </w:pPr>
      <w:r>
        <w:t xml:space="preserve">за период _______________________</w:t>
      </w:r>
      <w:r/>
    </w:p>
    <w:p>
      <w:pPr>
        <w:pStyle w:val="472"/>
        <w:ind w:firstLine="540"/>
        <w:jc w:val="both"/>
        <w:widowControl w:val="off"/>
      </w:pPr>
      <w:r/>
      <w:r/>
    </w:p>
    <w:tbl>
      <w:tblPr>
        <w:tblW w:w="15168" w:type="dxa"/>
        <w:tblInd w:w="75" w:type="dxa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>
        <w:trPr>
          <w:cantSplit/>
          <w:trHeight w:val="4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строки 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целевого показателя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целевого показателя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Единица измерения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223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Значение целевого показателя</w:t>
            </w:r>
            <w:r/>
          </w:p>
        </w:tc>
      </w:tr>
      <w:tr>
        <w:trPr>
          <w:cantSplit/>
          <w:trHeight w:val="6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2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69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планируемое</w:t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текущий год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7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фактическое за отчетный период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процент выполнения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69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7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1...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2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692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79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</w:tbl>
    <w:p>
      <w:pPr>
        <w:pStyle w:val="472"/>
        <w:jc w:val="right"/>
        <w:widowControl w:val="off"/>
        <w:rPr>
          <w:b/>
        </w:rPr>
        <w:sectPr>
          <w:footnotePr/>
          <w:endnotePr/>
          <w:type w:val="nextPage"/>
          <w:pgSz w:w="16840" w:h="11907" w:orient="landscape"/>
          <w:pgMar w:top="426" w:right="567" w:bottom="1134" w:left="1134" w:header="567" w:footer="851" w:gutter="0"/>
          <w:pgNumType w:start="1"/>
          <w:cols w:num="1" w:sep="0" w:space="709" w:equalWidth="1"/>
          <w:docGrid w:linePitch="360"/>
          <w:titlePg/>
        </w:sectPr>
      </w:pPr>
      <w:r>
        <w:rPr>
          <w:b/>
        </w:rPr>
      </w:r>
      <w:r/>
    </w:p>
    <w:p>
      <w:pPr>
        <w:pStyle w:val="472"/>
        <w:jc w:val="right"/>
        <w:widowControl w:val="off"/>
        <w:outlineLvl w:val="2"/>
      </w:pPr>
      <w:r>
        <w:t xml:space="preserve">Приложение 1</w:t>
      </w:r>
      <w:r/>
    </w:p>
    <w:p>
      <w:pPr>
        <w:pStyle w:val="472"/>
        <w:jc w:val="right"/>
        <w:widowControl w:val="off"/>
        <w:rPr>
          <w:b/>
        </w:rPr>
        <w:outlineLvl w:val="2"/>
      </w:pPr>
      <w:r>
        <w:t xml:space="preserve">к Методическим указаниям</w:t>
      </w:r>
      <w:r>
        <w:rPr>
          <w:b/>
        </w:rPr>
      </w:r>
      <w:r/>
    </w:p>
    <w:p>
      <w:pPr>
        <w:pStyle w:val="472"/>
        <w:jc w:val="right"/>
        <w:widowControl w:val="off"/>
        <w:outlineLvl w:val="2"/>
      </w:pPr>
      <w:r>
        <w:t xml:space="preserve">Таблица </w:t>
      </w:r>
      <w:r>
        <w:t xml:space="preserve">7</w:t>
      </w:r>
      <w:r/>
    </w:p>
    <w:p>
      <w:pPr>
        <w:pStyle w:val="472"/>
        <w:jc w:val="right"/>
        <w:widowControl w:val="off"/>
      </w:pPr>
      <w:r/>
      <w:r/>
    </w:p>
    <w:p>
      <w:pPr>
        <w:pStyle w:val="472"/>
        <w:jc w:val="center"/>
        <w:widowControl w:val="off"/>
      </w:pPr>
      <w:r/>
      <w:bookmarkStart w:id="6" w:name="Par965"/>
      <w:r/>
      <w:bookmarkEnd w:id="6"/>
      <w:r>
        <w:t xml:space="preserve">Отчет </w:t>
      </w:r>
      <w:r/>
    </w:p>
    <w:p>
      <w:pPr>
        <w:pStyle w:val="472"/>
        <w:jc w:val="center"/>
        <w:widowControl w:val="off"/>
      </w:pPr>
      <w:r>
        <w:t xml:space="preserve">о выполнении сводных показателей муниципальных заданий на оказание муниципальных услуг </w:t>
      </w:r>
      <w:r/>
    </w:p>
    <w:p>
      <w:pPr>
        <w:pStyle w:val="472"/>
        <w:jc w:val="center"/>
        <w:widowControl w:val="off"/>
      </w:pPr>
      <w:r>
        <w:t xml:space="preserve">муниципальными учреждениями по муниципальной программе </w:t>
      </w:r>
      <w:r/>
    </w:p>
    <w:p>
      <w:pPr>
        <w:pStyle w:val="472"/>
        <w:jc w:val="center"/>
        <w:widowControl w:val="off"/>
      </w:pPr>
      <w:r/>
      <w:r/>
    </w:p>
    <w:tbl>
      <w:tblPr>
        <w:tblW w:w="15168" w:type="dxa"/>
        <w:tblInd w:w="75" w:type="dxa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4886"/>
        <w:gridCol w:w="1394"/>
        <w:gridCol w:w="1559"/>
        <w:gridCol w:w="2934"/>
        <w:gridCol w:w="2551"/>
        <w:gridCol w:w="1844"/>
      </w:tblGrid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vMerge w:val="restart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услуги,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 объема услуги, подпрограммы,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основного мероприятия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3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показателя объема услуги</w:t>
            </w:r>
            <w:r/>
          </w:p>
        </w:tc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2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Расход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ы местного бюджета на оказание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муниципальной услуги (тыс. руб.)</w:t>
            </w:r>
            <w:r/>
          </w:p>
        </w:tc>
      </w:tr>
      <w:tr>
        <w:trPr>
          <w:cantSplit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86" w:type="dxa"/>
            <w:vAlign w:val="center"/>
            <w:vMerge w:val="continue"/>
            <w:textDirection w:val="lrTb"/>
            <w:noWrap w:val="false"/>
          </w:tcPr>
          <w:p>
            <w:pPr>
              <w:pStyle w:val="472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факт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сводная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 роспись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1 января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отчетного года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сводная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бюджетная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роспись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31 декабря отчетного года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кассовое исполнение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Наименование услуги и ее содержание:</w:t>
            </w:r>
            <w:r/>
          </w:p>
        </w:tc>
        <w:tc>
          <w:tcPr>
            <w:gridSpan w:val="5"/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028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_______________________________________________________________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Показатель объема услуги:           </w:t>
            </w:r>
            <w:r/>
          </w:p>
        </w:tc>
        <w:tc>
          <w:tcPr>
            <w:gridSpan w:val="5"/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0282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_______________________________________________________________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1          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1.1.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Подпрограмма 2          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1.1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Основное мероприятие 1.2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4886" w:type="dxa"/>
            <w:vAlign w:val="top"/>
            <w:textDirection w:val="lrTb"/>
            <w:noWrap w:val="false"/>
          </w:tcPr>
          <w:p>
            <w:pPr>
              <w:pStyle w:val="49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...                                 </w:t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39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93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top w:val="none" w:color="FFFFFF" w:sz="255" w:space="0"/>
              <w:right w:val="single" w:color="000000" w:sz="4" w:space="0"/>
              <w:bottom w:val="single" w:color="000000" w:sz="4" w:space="0"/>
            </w:tcBorders>
            <w:tcW w:w="1844" w:type="dxa"/>
            <w:vAlign w:val="top"/>
            <w:textDirection w:val="lrTb"/>
            <w:noWrap w:val="false"/>
          </w:tcPr>
          <w:p>
            <w:pPr>
              <w:pStyle w:val="49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  <w:r/>
          </w:p>
        </w:tc>
      </w:tr>
    </w:tbl>
    <w:p>
      <w:pPr>
        <w:pStyle w:val="472"/>
        <w:jc w:val="both"/>
        <w:widowControl w:val="off"/>
      </w:pPr>
      <w:r/>
      <w:r/>
    </w:p>
    <w:p>
      <w:pPr>
        <w:pStyle w:val="472"/>
        <w:jc w:val="both"/>
        <w:widowControl w:val="off"/>
        <w:sectPr>
          <w:footnotePr/>
          <w:endnotePr/>
          <w:type w:val="nextPage"/>
          <w:pgSz w:w="16840" w:h="11907" w:orient="landscape"/>
          <w:pgMar w:top="426" w:right="567" w:bottom="1134" w:left="1134" w:header="567" w:footer="851" w:gutter="0"/>
          <w:pgNumType w:start="1"/>
          <w:cols w:num="1" w:sep="0" w:space="709" w:equalWidth="1"/>
          <w:docGrid w:linePitch="360"/>
          <w:titlePg/>
        </w:sectPr>
      </w:pPr>
      <w:r/>
      <w:r/>
    </w:p>
    <w:p>
      <w:pPr>
        <w:pStyle w:val="472"/>
        <w:jc w:val="both"/>
        <w:widowControl w:val="off"/>
      </w:pPr>
      <w:r/>
      <w:r/>
    </w:p>
    <w:p>
      <w:pPr>
        <w:pStyle w:val="472"/>
        <w:jc w:val="right"/>
        <w:widowControl w:val="off"/>
      </w:pPr>
      <w:r>
        <w:t xml:space="preserve">Приложение 2</w:t>
      </w:r>
      <w:r/>
    </w:p>
    <w:p>
      <w:pPr>
        <w:pStyle w:val="472"/>
        <w:jc w:val="right"/>
        <w:widowControl w:val="off"/>
      </w:pPr>
      <w:r>
        <w:t xml:space="preserve">к Методическим указаниям</w:t>
      </w:r>
      <w:r/>
    </w:p>
    <w:p>
      <w:pPr>
        <w:pStyle w:val="472"/>
        <w:jc w:val="both"/>
        <w:widowControl w:val="off"/>
        <w:rPr>
          <w:b/>
        </w:rPr>
      </w:pPr>
      <w:r>
        <w:rPr>
          <w:b/>
        </w:rPr>
      </w:r>
      <w:r/>
    </w:p>
    <w:p>
      <w:pPr>
        <w:pStyle w:val="472"/>
        <w:jc w:val="both"/>
        <w:widowControl w:val="off"/>
      </w:pPr>
      <w:r/>
      <w:r/>
    </w:p>
    <w:p>
      <w:pPr>
        <w:pStyle w:val="472"/>
        <w:jc w:val="center"/>
        <w:widowControl w:val="off"/>
      </w:pPr>
      <w:r>
        <w:t xml:space="preserve">Методика </w:t>
      </w:r>
      <w:r/>
    </w:p>
    <w:p>
      <w:pPr>
        <w:pStyle w:val="472"/>
        <w:jc w:val="center"/>
        <w:widowControl w:val="off"/>
      </w:pPr>
      <w:r>
        <w:t xml:space="preserve">оценки эффективности муниципальных программ </w:t>
      </w:r>
      <w:r/>
    </w:p>
    <w:p>
      <w:pPr>
        <w:pStyle w:val="472"/>
        <w:ind w:firstLine="540"/>
        <w:jc w:val="both"/>
        <w:outlineLvl w:val="0"/>
      </w:pPr>
      <w:r/>
      <w:r/>
    </w:p>
    <w:p>
      <w:pPr>
        <w:pStyle w:val="472"/>
        <w:jc w:val="both"/>
      </w:pPr>
      <w:r>
        <w:t xml:space="preserve">1. Настоящая Методика определяет порядок оценки результативности и эффективности реализации муниципальных программ.</w:t>
      </w:r>
      <w:r/>
    </w:p>
    <w:p>
      <w:pPr>
        <w:pStyle w:val="472"/>
        <w:jc w:val="both"/>
      </w:pPr>
      <w:r>
        <w:t xml:space="preserve">2. Для расчета эффективности реализации Программы (эффективности расходования бюджетных средств) используются индикаторы и показатели отчета о реализации Программы.</w:t>
      </w:r>
      <w:r/>
    </w:p>
    <w:p>
      <w:pPr>
        <w:pStyle w:val="472"/>
        <w:jc w:val="both"/>
      </w:pPr>
      <w:r>
        <w:t xml:space="preserve">3. Под результативностью понимается степень достижения запланированных показателей за счет реализации мероприятий Программы.</w:t>
      </w:r>
      <w:r/>
    </w:p>
    <w:p>
      <w:pPr>
        <w:pStyle w:val="472"/>
        <w:jc w:val="both"/>
      </w:pPr>
      <w:r>
        <w:t xml:space="preserve">Результативность измеряется путем сопоставления фактически достигнутых значений показателей с плановыми значениями.</w:t>
      </w:r>
      <w:r/>
    </w:p>
    <w:p>
      <w:pPr>
        <w:pStyle w:val="472"/>
        <w:jc w:val="both"/>
      </w:pPr>
      <w:r>
        <w:t xml:space="preserve">4. 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результативности.</w:t>
      </w:r>
      <w:r/>
    </w:p>
    <w:p>
      <w:pPr>
        <w:pStyle w:val="472"/>
        <w:jc w:val="both"/>
      </w:pPr>
      <w:r>
        <w:t xml:space="preserve">5. Индекс результативности Программы (мероприятия) оценивается по каждому целевому показателю в год t и за расчетный период T:</w:t>
      </w:r>
      <w:r/>
    </w:p>
    <w:p>
      <w:pPr>
        <w:pStyle w:val="472"/>
        <w:jc w:val="both"/>
      </w:pPr>
      <w:r/>
      <w:r/>
    </w:p>
    <w:p>
      <w:pPr>
        <w:pStyle w:val="472"/>
        <w:jc w:val="both"/>
      </w:pPr>
      <w:r>
        <w:t xml:space="preserve">                                       Пфit</w:t>
      </w:r>
      <w:r/>
    </w:p>
    <w:p>
      <w:pPr>
        <w:pStyle w:val="472"/>
        <w:jc w:val="both"/>
      </w:pPr>
      <w:r>
        <w:t xml:space="preserve">                                Рit = ------,</w:t>
      </w:r>
      <w:r/>
    </w:p>
    <w:p>
      <w:pPr>
        <w:pStyle w:val="472"/>
        <w:jc w:val="both"/>
      </w:pPr>
      <w:r>
        <w:t xml:space="preserve">                                       Ппit</w:t>
      </w:r>
      <w:r/>
    </w:p>
    <w:p>
      <w:pPr>
        <w:pStyle w:val="472"/>
        <w:jc w:val="both"/>
      </w:pPr>
      <w:r>
        <w:t xml:space="preserve">где:</w:t>
      </w:r>
      <w:r/>
    </w:p>
    <w:p>
      <w:pPr>
        <w:pStyle w:val="472"/>
        <w:jc w:val="both"/>
      </w:pPr>
      <w:r>
        <w:t xml:space="preserve">Рit - результативность достижения i-го показателя, характеризующего ход реализации Программы, в год t;</w:t>
      </w:r>
      <w:r/>
    </w:p>
    <w:p>
      <w:pPr>
        <w:pStyle w:val="472"/>
        <w:jc w:val="both"/>
      </w:pPr>
      <w:r>
        <w:t xml:space="preserve">Пфit - фактическое значение i-го показателя, характеризующего реализацию Программы, в год t;</w:t>
      </w:r>
      <w:r/>
    </w:p>
    <w:p>
      <w:pPr>
        <w:pStyle w:val="472"/>
        <w:jc w:val="both"/>
      </w:pPr>
      <w:r>
        <w:t xml:space="preserve">Ппit - плановое значение i-го показателя, характеризующего реализацию Программы, в год t;</w:t>
      </w:r>
      <w:r/>
    </w:p>
    <w:p>
      <w:pPr>
        <w:pStyle w:val="472"/>
        <w:jc w:val="both"/>
      </w:pPr>
      <w:r>
        <w:t xml:space="preserve">i - номер показателя Программы.</w:t>
      </w:r>
      <w:r/>
    </w:p>
    <w:p>
      <w:pPr>
        <w:pStyle w:val="472"/>
        <w:jc w:val="both"/>
      </w:pPr>
      <w:r>
        <w:t xml:space="preserve">6. Интегральная оценка результативности Программы в год t определяется по следующей формуле:</w:t>
      </w:r>
      <w:r/>
    </w:p>
    <w:p>
      <w:pPr>
        <w:pStyle w:val="472"/>
        <w:jc w:val="both"/>
      </w:pPr>
      <w:r/>
      <w:r/>
    </w:p>
    <w:p>
      <w:pPr>
        <w:pStyle w:val="472"/>
        <w:jc w:val="both"/>
        <w:rPr>
          <w:lang w:val="en-US"/>
        </w:rPr>
      </w:pPr>
      <w:r>
        <w:t xml:space="preserve">                                  </w:t>
      </w:r>
      <w:r>
        <w:rPr>
          <w:lang w:val="en-US"/>
        </w:rPr>
        <w:t xml:space="preserve">m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  <w:t xml:space="preserve">                                 SUM </w:t>
      </w:r>
      <w:r>
        <w:t xml:space="preserve">Р</w:t>
      </w:r>
      <w:r>
        <w:rPr>
          <w:lang w:val="en-US"/>
        </w:rPr>
        <w:t xml:space="preserve">it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  <w:t xml:space="preserve">                                  1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  <w:t xml:space="preserve">                            Ht = ------- x 100,</w:t>
      </w:r>
      <w:r/>
    </w:p>
    <w:p>
      <w:pPr>
        <w:pStyle w:val="472"/>
        <w:jc w:val="both"/>
      </w:pPr>
      <w:r>
        <w:rPr>
          <w:lang w:val="en-US"/>
        </w:rPr>
        <w:t xml:space="preserve">                                    </w:t>
      </w:r>
      <w:r>
        <w:t xml:space="preserve">m</w:t>
      </w:r>
      <w:r/>
    </w:p>
    <w:p>
      <w:pPr>
        <w:pStyle w:val="472"/>
        <w:jc w:val="both"/>
      </w:pPr>
      <w:r/>
      <w:r/>
    </w:p>
    <w:p>
      <w:pPr>
        <w:pStyle w:val="472"/>
        <w:jc w:val="both"/>
      </w:pPr>
      <w:r>
        <w:t xml:space="preserve">где:</w:t>
      </w:r>
      <w:r/>
    </w:p>
    <w:p>
      <w:pPr>
        <w:pStyle w:val="472"/>
        <w:jc w:val="both"/>
      </w:pPr>
      <w:r>
        <w:t xml:space="preserve">Ht - интегральная оценка результативности Программы в год t (в процентах);</w:t>
      </w:r>
      <w:r/>
    </w:p>
    <w:p>
      <w:pPr>
        <w:pStyle w:val="472"/>
        <w:jc w:val="both"/>
      </w:pPr>
      <w:r>
        <w:t xml:space="preserve">Рit - индекс результативности по i-му показателю </w:t>
      </w:r>
      <w:r>
        <w:fldChar w:fldCharType="begin"/>
      </w:r>
      <w:r>
        <w:instrText xml:space="preserve"> HYPERLINK "consultantplus://offline/ref=5C8F4E7ACC6B233161AA48CC83D250141AFC3661E9C77F5FAEE09F556170BEFAED3D40052FE07C96534550CBH1G5D" </w:instrText>
      </w:r>
      <w:r>
        <w:fldChar w:fldCharType="separate"/>
      </w:r>
      <w:r>
        <w:rPr>
          <w:rStyle w:val="499"/>
        </w:rPr>
        <w:t xml:space="preserve">&lt;1&gt;</w:t>
      </w:r>
      <w:r>
        <w:fldChar w:fldCharType="end"/>
      </w:r>
      <w:r>
        <w:t xml:space="preserve"> в год t;</w:t>
      </w:r>
      <w:r/>
    </w:p>
    <w:p>
      <w:pPr>
        <w:pStyle w:val="472"/>
        <w:jc w:val="both"/>
      </w:pPr>
      <w:r>
        <w:t xml:space="preserve">m - количество показателей Программы.</w:t>
      </w:r>
      <w:r/>
    </w:p>
    <w:p>
      <w:pPr>
        <w:pStyle w:val="472"/>
        <w:jc w:val="both"/>
      </w:pPr>
      <w:r>
        <w:t xml:space="preserve">--------------------------------</w:t>
      </w:r>
      <w:r/>
    </w:p>
    <w:p>
      <w:pPr>
        <w:pStyle w:val="472"/>
        <w:jc w:val="both"/>
      </w:pPr>
      <w:r>
        <w:t xml:space="preserve">&lt;1&gt; Все целевые и объемные показатели Программы являются равнозначными.</w:t>
      </w:r>
      <w:r/>
    </w:p>
    <w:p>
      <w:pPr>
        <w:pStyle w:val="472"/>
        <w:jc w:val="both"/>
      </w:pPr>
      <w:r/>
      <w:r/>
    </w:p>
    <w:p>
      <w:pPr>
        <w:pStyle w:val="472"/>
        <w:jc w:val="both"/>
      </w:pPr>
      <w:r>
        <w:t xml:space="preserve">7. 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  <w:r/>
    </w:p>
    <w:p>
      <w:pPr>
        <w:pStyle w:val="472"/>
        <w:jc w:val="both"/>
      </w:pPr>
      <w:r/>
      <w:r/>
    </w:p>
    <w:p>
      <w:pPr>
        <w:pStyle w:val="472"/>
        <w:jc w:val="both"/>
        <w:rPr>
          <w:lang w:val="en-US"/>
        </w:rPr>
      </w:pPr>
      <w:r>
        <w:t xml:space="preserve">                                    </w:t>
      </w:r>
      <w:r>
        <w:rPr>
          <w:lang w:val="en-US"/>
        </w:rPr>
        <w:t xml:space="preserve">Ht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  <w:t xml:space="preserve">                              </w:t>
      </w:r>
      <w:r>
        <w:t xml:space="preserve">Э</w:t>
      </w:r>
      <w:r>
        <w:rPr>
          <w:lang w:val="en-US"/>
        </w:rPr>
        <w:t xml:space="preserve">t = ---- x 100,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  <w:t xml:space="preserve">                                    St</w:t>
      </w:r>
      <w:r/>
    </w:p>
    <w:p>
      <w:pPr>
        <w:pStyle w:val="472"/>
        <w:jc w:val="both"/>
        <w:rPr>
          <w:lang w:val="en-US"/>
        </w:rPr>
      </w:pPr>
      <w:r>
        <w:rPr>
          <w:lang w:val="en-US"/>
        </w:rPr>
      </w:r>
      <w:r/>
    </w:p>
    <w:p>
      <w:pPr>
        <w:pStyle w:val="472"/>
        <w:jc w:val="both"/>
        <w:rPr>
          <w:lang w:val="en-US"/>
        </w:rPr>
      </w:pPr>
      <w:r>
        <w:t xml:space="preserve">где</w:t>
      </w:r>
      <w:r>
        <w:rPr>
          <w:lang w:val="en-US"/>
        </w:rPr>
        <w:t xml:space="preserve">:</w:t>
      </w:r>
      <w:r/>
    </w:p>
    <w:p>
      <w:pPr>
        <w:pStyle w:val="472"/>
        <w:jc w:val="both"/>
      </w:pPr>
      <w:r>
        <w:t xml:space="preserve">Эt - эффективность Программы в год t;</w:t>
      </w:r>
      <w:r/>
    </w:p>
    <w:p>
      <w:pPr>
        <w:pStyle w:val="472"/>
        <w:jc w:val="both"/>
      </w:pPr>
      <w:r>
        <w:t xml:space="preserve">St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  <w:r/>
    </w:p>
    <w:p>
      <w:pPr>
        <w:pStyle w:val="472"/>
        <w:jc w:val="both"/>
      </w:pPr>
      <w:r>
        <w:t xml:space="preserve">Ht - интегральная оценка результативности Программы в год t.</w:t>
      </w:r>
      <w:r/>
    </w:p>
    <w:p>
      <w:pPr>
        <w:pStyle w:val="472"/>
        <w:jc w:val="both"/>
      </w:pPr>
      <w:r>
        <w:t xml:space="preserve">8. При завершении расчетов показателей формулируются выводы по оценке эффективности реализации Программы с учетом следующих критериев:</w:t>
      </w:r>
      <w:r/>
    </w:p>
    <w:p>
      <w:pPr>
        <w:pStyle w:val="472"/>
        <w:jc w:val="both"/>
      </w:pPr>
      <w:r>
        <w:t xml:space="preserve">значение показателя (Эt) от 90 до 110% - реализация Программы соответствует запланированным результатам при запланированном объеме расходов - запланированная эффективность реализации Программы;</w:t>
      </w:r>
      <w:r/>
    </w:p>
    <w:p>
      <w:pPr>
        <w:pStyle w:val="472"/>
        <w:jc w:val="both"/>
      </w:pPr>
      <w:r>
        <w:t xml:space="preserve">значение показателя (Эt) более 110% - эффективность реализации Программы более высокая по сравнению с запланированной;</w:t>
      </w:r>
      <w:r/>
    </w:p>
    <w:p>
      <w:pPr>
        <w:pStyle w:val="472"/>
        <w:jc w:val="both"/>
      </w:pPr>
      <w:r>
        <w:t xml:space="preserve">значение показателя (Эt) от 50 до 90% - эффективность реализации Программы более низкая по сравнению с запланированной;</w:t>
      </w:r>
      <w:r/>
    </w:p>
    <w:p>
      <w:pPr>
        <w:pStyle w:val="472"/>
        <w:jc w:val="both"/>
      </w:pPr>
      <w:r>
        <w:t xml:space="preserve">значение показателя (Эt) менее 50% - Программа реализуется неэффективно.</w:t>
      </w:r>
      <w:r/>
    </w:p>
    <w:p>
      <w:pPr>
        <w:pStyle w:val="472"/>
        <w:jc w:val="both"/>
      </w:pPr>
      <w:r>
        <w:t xml:space="preserve">9. В случае если эффективность реализации Программы более низкая по сравнению с запланированной или Программа реализуется неэффективно по итогам ежегодной оценки, формируется соответствующее заключение о внесении изменений в Программу или о до</w:t>
      </w:r>
      <w:r>
        <w:t xml:space="preserve">срочном прекращении реализации </w:t>
      </w:r>
      <w:r>
        <w:t xml:space="preserve">Программы.</w:t>
      </w:r>
      <w:r/>
    </w:p>
    <w:p>
      <w:pPr>
        <w:pStyle w:val="472"/>
        <w:ind w:firstLine="709"/>
        <w:jc w:val="both"/>
        <w:widowControl w:val="off"/>
        <w:rPr>
          <w:sz w:val="14"/>
          <w:szCs w:val="14"/>
        </w:rPr>
      </w:pPr>
      <w:r>
        <w:rPr>
          <w:sz w:val="14"/>
          <w:szCs w:val="14"/>
        </w:rPr>
      </w:r>
      <w:r/>
    </w:p>
    <w:p>
      <w:pPr>
        <w:pStyle w:val="472"/>
        <w:jc w:val="center"/>
        <w:rPr>
          <w:sz w:val="22"/>
          <w:szCs w:val="22"/>
        </w:rPr>
      </w:pPr>
      <w:r>
        <w:rPr>
          <w:sz w:val="22"/>
          <w:szCs w:val="22"/>
        </w:rPr>
      </w:r>
      <w:r/>
    </w:p>
    <w:sectPr>
      <w:footnotePr/>
      <w:endnotePr/>
      <w:type w:val="nextPage"/>
      <w:pgSz w:w="16838" w:h="11906" w:orient="landscape"/>
      <w:pgMar w:top="426" w:right="1134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472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">
    <w:multiLevelType w:val="hybridMultilevel"/>
    <w:lvl w:ilvl="0">
      <w:start w:val="2014"/>
      <w:numFmt w:val="decimal"/>
      <w:isLgl w:val="false"/>
      <w:suff w:val="tab"/>
      <w:lvlText w:val="%1"/>
      <w:lvlJc w:val="left"/>
      <w:pPr>
        <w:pStyle w:val="472"/>
        <w:ind w:left="485" w:hanging="48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0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180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5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2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396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46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4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12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72"/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472"/>
        <w:ind w:left="214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472"/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472"/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472"/>
        <w:ind w:left="430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472"/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472"/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472"/>
        <w:ind w:left="646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472"/>
        <w:ind w:left="7188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72"/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472"/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472"/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472"/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472"/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472"/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472"/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472"/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472"/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72"/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472"/>
        <w:ind w:left="1648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472"/>
        <w:ind w:left="23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472"/>
        <w:ind w:left="30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472"/>
        <w:ind w:left="3808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472"/>
        <w:ind w:left="45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472"/>
        <w:ind w:left="52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472"/>
        <w:ind w:left="5968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472"/>
        <w:ind w:left="6688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14">
    <w:multiLevelType w:val="hybridMultilevel"/>
    <w:lvl w:ilvl="0">
      <w:start w:val="2014"/>
      <w:numFmt w:val="decimal"/>
      <w:isLgl w:val="false"/>
      <w:suff w:val="tab"/>
      <w:lvlText w:val="%1"/>
      <w:lvlJc w:val="left"/>
      <w:pPr>
        <w:pStyle w:val="472"/>
        <w:ind w:left="900" w:hanging="54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pStyle w:val="472"/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472"/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472"/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472"/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472"/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472"/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472"/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472"/>
        <w:ind w:left="180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pStyle w:val="472"/>
        <w:ind w:left="72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472"/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472"/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472"/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472"/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472"/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472"/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472"/>
        <w:ind w:left="1800" w:hanging="1440"/>
      </w:p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472"/>
        <w:ind w:left="831" w:hanging="360"/>
        <w:tabs>
          <w:tab w:val="num" w:pos="831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pStyle w:val="472"/>
        <w:ind w:left="1551" w:hanging="360"/>
        <w:tabs>
          <w:tab w:val="num" w:pos="1551" w:leader="none"/>
        </w:tabs>
      </w:pPr>
    </w:lvl>
    <w:lvl w:ilvl="2">
      <w:start w:val="1"/>
      <w:numFmt w:val="bullet"/>
      <w:isLgl w:val="false"/>
      <w:suff w:val="tab"/>
      <w:lvlText w:val=""/>
      <w:lvlJc w:val="left"/>
      <w:pPr>
        <w:pStyle w:val="472"/>
        <w:ind w:left="2271" w:hanging="360"/>
        <w:tabs>
          <w:tab w:val="num" w:pos="2271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472"/>
        <w:ind w:left="2991" w:hanging="360"/>
        <w:tabs>
          <w:tab w:val="num" w:pos="2991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472"/>
        <w:ind w:left="3711" w:hanging="360"/>
        <w:tabs>
          <w:tab w:val="num" w:pos="3711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472"/>
        <w:ind w:left="4431" w:hanging="360"/>
        <w:tabs>
          <w:tab w:val="num" w:pos="4431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472"/>
        <w:ind w:left="5151" w:hanging="360"/>
        <w:tabs>
          <w:tab w:val="num" w:pos="5151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472"/>
        <w:ind w:left="5871" w:hanging="360"/>
        <w:tabs>
          <w:tab w:val="num" w:pos="5871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472"/>
        <w:ind w:left="6591" w:hanging="360"/>
        <w:tabs>
          <w:tab w:val="num" w:pos="6591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510" w:hanging="510"/>
        <w:tabs>
          <w:tab w:val="num" w:pos="51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472"/>
        <w:ind w:left="510" w:hanging="510"/>
        <w:tabs>
          <w:tab w:val="num" w:pos="51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472"/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472"/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472"/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472"/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472"/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472"/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472"/>
        <w:ind w:left="1800" w:hanging="1800"/>
        <w:tabs>
          <w:tab w:val="num" w:pos="180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7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7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7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7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7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7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7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7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72"/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472"/>
        </w:pPr>
        <w:rPr>
          <w:rFonts w:ascii="Times New Roman" w:hAnsi="Times New Roman"/>
        </w:rPr>
      </w:lvl>
    </w:lvlOverride>
  </w:num>
  <w:num w:numId="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472"/>
        </w:pPr>
        <w:rPr>
          <w:rFonts w:ascii="Times New Roman" w:hAnsi="Times New Roman"/>
        </w:rPr>
      </w:lvl>
    </w:lvlOverride>
  </w:num>
  <w:num w:numId="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472"/>
        </w:pPr>
        <w:rPr>
          <w:rFonts w:ascii="Times New Roman" w:hAnsi="Times New Roman"/>
        </w:rPr>
      </w:lvl>
    </w:lvlOverride>
  </w:num>
  <w:num w:numId="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472"/>
        </w:pPr>
        <w:rPr>
          <w:rFonts w:ascii="Times New Roman" w:hAnsi="Times New Roman"/>
        </w:rPr>
      </w:lvl>
    </w:lvlOverride>
  </w:num>
  <w:num w:numId="7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472"/>
        </w:pPr>
        <w:rPr>
          <w:rFonts w:ascii="Times New Roman" w:hAnsi="Times New Roman"/>
        </w:rPr>
      </w:lvl>
    </w:lvlOverride>
  </w:num>
  <w:num w:numId="8">
    <w:abstractNumId w:val="2"/>
  </w:num>
  <w:num w:numId="9">
    <w:abstractNumId w:val="14"/>
  </w:num>
  <w:num w:numId="10">
    <w:abstractNumId w:val="10"/>
  </w:num>
  <w:num w:numId="11">
    <w:abstractNumId w:val="12"/>
  </w:num>
  <w:num w:numId="12">
    <w:abstractNumId w:val="23"/>
  </w:num>
  <w:num w:numId="13">
    <w:abstractNumId w:val="3"/>
  </w:num>
  <w:num w:numId="14">
    <w:abstractNumId w:val="7"/>
  </w:num>
  <w:num w:numId="15">
    <w:abstractNumId w:val="24"/>
  </w:num>
  <w:num w:numId="16">
    <w:abstractNumId w:val="9"/>
  </w:num>
  <w:num w:numId="17">
    <w:abstractNumId w:val="1"/>
  </w:num>
  <w:num w:numId="18">
    <w:abstractNumId w:val="18"/>
  </w:num>
  <w:num w:numId="19">
    <w:abstractNumId w:val="8"/>
  </w:num>
  <w:num w:numId="20">
    <w:abstractNumId w:val="28"/>
  </w:num>
  <w:num w:numId="21">
    <w:abstractNumId w:val="26"/>
  </w:num>
  <w:num w:numId="22">
    <w:abstractNumId w:val="6"/>
  </w:num>
  <w:num w:numId="23">
    <w:abstractNumId w:val="16"/>
  </w:num>
  <w:num w:numId="24">
    <w:abstractNumId w:val="22"/>
  </w:num>
  <w:num w:numId="25">
    <w:abstractNumId w:val="20"/>
  </w:num>
  <w:num w:numId="26">
    <w:abstractNumId w:val="11"/>
  </w:num>
  <w:num w:numId="27">
    <w:abstractNumId w:val="5"/>
  </w:num>
  <w:num w:numId="28">
    <w:abstractNumId w:val="17"/>
  </w:num>
  <w:num w:numId="29">
    <w:abstractNumId w:val="27"/>
  </w:num>
  <w:num w:numId="30">
    <w:abstractNumId w:val="4"/>
  </w:num>
  <w:num w:numId="31">
    <w:abstractNumId w:val="15"/>
  </w:num>
  <w:num w:numId="32">
    <w:abstractNumId w:val="19"/>
  </w:num>
  <w:num w:numId="33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72">
    <w:name w:val="Обычный"/>
    <w:next w:val="472"/>
    <w:link w:val="472"/>
    <w:rPr>
      <w:sz w:val="24"/>
      <w:szCs w:val="24"/>
      <w:lang w:val="ru-RU" w:bidi="ar-SA" w:eastAsia="ru-RU"/>
    </w:rPr>
  </w:style>
  <w:style w:type="paragraph" w:styleId="473">
    <w:name w:val="Заголовок 1"/>
    <w:basedOn w:val="472"/>
    <w:next w:val="472"/>
    <w:link w:val="487"/>
    <w:rPr>
      <w:rFonts w:ascii="Cambria" w:hAnsi="Cambria" w:eastAsia="Times New Roman"/>
      <w:b/>
      <w:bCs/>
      <w:sz w:val="32"/>
      <w:szCs w:val="32"/>
    </w:rPr>
    <w:pPr>
      <w:keepNext/>
      <w:spacing w:after="60" w:before="240"/>
      <w:outlineLvl w:val="0"/>
    </w:pPr>
  </w:style>
  <w:style w:type="paragraph" w:styleId="474">
    <w:name w:val="Заголовок 2"/>
    <w:basedOn w:val="472"/>
    <w:next w:val="472"/>
    <w:link w:val="472"/>
    <w:rPr>
      <w:b/>
      <w:bCs/>
    </w:rPr>
    <w:pPr>
      <w:jc w:val="center"/>
      <w:keepNext/>
      <w:outlineLvl w:val="1"/>
    </w:pPr>
  </w:style>
  <w:style w:type="paragraph" w:styleId="475">
    <w:name w:val="Заголовок 3"/>
    <w:basedOn w:val="472"/>
    <w:next w:val="472"/>
    <w:link w:val="472"/>
    <w:rPr>
      <w:b/>
      <w:bCs/>
    </w:rPr>
    <w:pPr>
      <w:jc w:val="both"/>
      <w:keepNext/>
      <w:outlineLvl w:val="2"/>
    </w:pPr>
  </w:style>
  <w:style w:type="character" w:styleId="476">
    <w:name w:val="Основной шрифт абзаца"/>
    <w:next w:val="476"/>
    <w:link w:val="472"/>
    <w:semiHidden/>
  </w:style>
  <w:style w:type="table" w:styleId="477">
    <w:name w:val="Обычная таблица"/>
    <w:next w:val="477"/>
    <w:link w:val="472"/>
    <w:semiHidden/>
    <w:tblPr/>
  </w:style>
  <w:style w:type="numbering" w:styleId="478">
    <w:name w:val="Нет списка"/>
    <w:next w:val="478"/>
    <w:link w:val="472"/>
    <w:semiHidden/>
  </w:style>
  <w:style w:type="paragraph" w:styleId="479">
    <w:name w:val="Текст выноски"/>
    <w:basedOn w:val="472"/>
    <w:next w:val="479"/>
    <w:link w:val="472"/>
    <w:semiHidden/>
    <w:rPr>
      <w:rFonts w:ascii="Tahoma" w:hAnsi="Tahoma"/>
      <w:sz w:val="16"/>
      <w:szCs w:val="16"/>
    </w:rPr>
  </w:style>
  <w:style w:type="paragraph" w:styleId="480">
    <w:name w:val="Основной текст с отступом"/>
    <w:basedOn w:val="472"/>
    <w:next w:val="480"/>
    <w:link w:val="472"/>
    <w:rPr>
      <w:b/>
      <w:sz w:val="20"/>
      <w:szCs w:val="20"/>
    </w:rPr>
  </w:style>
  <w:style w:type="paragraph" w:styleId="481">
    <w:name w:val="Основной текст с отступом 2"/>
    <w:basedOn w:val="472"/>
    <w:next w:val="481"/>
    <w:link w:val="472"/>
    <w:pPr>
      <w:ind w:left="283"/>
      <w:spacing w:lineRule="auto" w:line="480" w:after="120"/>
    </w:pPr>
  </w:style>
  <w:style w:type="paragraph" w:styleId="482">
    <w:name w:val="Основной текст"/>
    <w:basedOn w:val="472"/>
    <w:next w:val="482"/>
    <w:link w:val="472"/>
    <w:pPr>
      <w:spacing w:after="120"/>
    </w:pPr>
  </w:style>
  <w:style w:type="paragraph" w:styleId="483">
    <w:name w:val="ConsPlusTitle"/>
    <w:next w:val="483"/>
    <w:link w:val="472"/>
    <w:rPr>
      <w:b/>
      <w:bCs/>
      <w:sz w:val="24"/>
      <w:szCs w:val="24"/>
      <w:lang w:val="ru-RU" w:bidi="ar-SA" w:eastAsia="ru-RU"/>
    </w:rPr>
  </w:style>
  <w:style w:type="paragraph" w:styleId="484">
    <w:name w:val="Верхний колонтитул"/>
    <w:basedOn w:val="472"/>
    <w:next w:val="484"/>
    <w:link w:val="492"/>
    <w:pPr>
      <w:tabs>
        <w:tab w:val="center" w:pos="4677" w:leader="none"/>
        <w:tab w:val="right" w:pos="9355" w:leader="none"/>
      </w:tabs>
    </w:pPr>
  </w:style>
  <w:style w:type="paragraph" w:styleId="485">
    <w:name w:val="Обычный (веб)"/>
    <w:basedOn w:val="472"/>
    <w:next w:val="485"/>
    <w:link w:val="472"/>
    <w:rPr>
      <w:rFonts w:ascii="Arial" w:hAnsi="Arial"/>
      <w:color w:val="332E2D"/>
      <w:spacing w:val="2"/>
    </w:rPr>
    <w:pPr>
      <w:spacing w:after="21" w:before="21"/>
    </w:pPr>
  </w:style>
  <w:style w:type="paragraph" w:styleId="486">
    <w:name w:val=" Знак"/>
    <w:basedOn w:val="472"/>
    <w:next w:val="486"/>
    <w:link w:val="472"/>
    <w:rPr>
      <w:sz w:val="20"/>
      <w:szCs w:val="20"/>
      <w:lang w:val="en-GB" w:eastAsia="en-US"/>
    </w:rPr>
    <w:pPr>
      <w:jc w:val="right"/>
      <w:spacing w:lineRule="exact" w:line="240" w:after="160"/>
      <w:widowControl w:val="off"/>
    </w:pPr>
  </w:style>
  <w:style w:type="character" w:styleId="487">
    <w:name w:val="Заголовок 1 Знак"/>
    <w:next w:val="487"/>
    <w:link w:val="473"/>
    <w:rPr>
      <w:rFonts w:ascii="Cambria" w:hAnsi="Cambria" w:eastAsia="Times New Roman"/>
      <w:b/>
      <w:bCs/>
      <w:sz w:val="32"/>
      <w:szCs w:val="32"/>
    </w:rPr>
  </w:style>
  <w:style w:type="character" w:styleId="488">
    <w:name w:val="Выделение"/>
    <w:next w:val="488"/>
    <w:link w:val="472"/>
    <w:rPr>
      <w:i/>
      <w:iCs/>
    </w:rPr>
  </w:style>
  <w:style w:type="paragraph" w:styleId="489">
    <w:name w:val="Заголовок,Название"/>
    <w:basedOn w:val="472"/>
    <w:next w:val="472"/>
    <w:link w:val="490"/>
    <w:rPr>
      <w:rFonts w:ascii="Cambria" w:hAnsi="Cambria" w:eastAsia="Times New Roman"/>
      <w:b/>
      <w:bCs/>
      <w:sz w:val="32"/>
      <w:szCs w:val="32"/>
    </w:rPr>
    <w:pPr>
      <w:jc w:val="center"/>
      <w:spacing w:after="60" w:before="240"/>
      <w:outlineLvl w:val="0"/>
    </w:pPr>
  </w:style>
  <w:style w:type="character" w:styleId="490">
    <w:name w:val="Название Знак"/>
    <w:next w:val="490"/>
    <w:link w:val="489"/>
    <w:rPr>
      <w:rFonts w:ascii="Cambria" w:hAnsi="Cambria" w:eastAsia="Times New Roman"/>
      <w:b/>
      <w:bCs/>
      <w:sz w:val="32"/>
      <w:szCs w:val="32"/>
    </w:rPr>
  </w:style>
  <w:style w:type="table" w:styleId="491">
    <w:name w:val="Сетка таблицы"/>
    <w:basedOn w:val="477"/>
    <w:next w:val="491"/>
    <w:link w:val="472"/>
    <w:tblPr/>
  </w:style>
  <w:style w:type="character" w:styleId="492">
    <w:name w:val="Верхний колонтитул Знак"/>
    <w:next w:val="492"/>
    <w:link w:val="484"/>
    <w:rPr>
      <w:sz w:val="24"/>
      <w:szCs w:val="24"/>
    </w:rPr>
  </w:style>
  <w:style w:type="paragraph" w:styleId="493">
    <w:name w:val="ConsPlusCell"/>
    <w:next w:val="493"/>
    <w:link w:val="472"/>
    <w:rPr>
      <w:rFonts w:ascii="Arial" w:hAnsi="Arial"/>
      <w:lang w:val="ru-RU" w:bidi="ar-SA" w:eastAsia="ru-RU"/>
    </w:rPr>
    <w:pPr>
      <w:widowControl w:val="off"/>
    </w:pPr>
  </w:style>
  <w:style w:type="paragraph" w:styleId="494">
    <w:name w:val="List Paragraph"/>
    <w:basedOn w:val="472"/>
    <w:next w:val="494"/>
    <w:link w:val="472"/>
    <w:rPr>
      <w:rFonts w:ascii="Calibri" w:hAnsi="Calibri"/>
      <w:sz w:val="22"/>
      <w:szCs w:val="22"/>
      <w:lang w:eastAsia="en-US"/>
    </w:rPr>
    <w:pPr>
      <w:ind w:left="720"/>
      <w:spacing w:lineRule="auto" w:line="276" w:after="200"/>
    </w:pPr>
  </w:style>
  <w:style w:type="paragraph" w:styleId="495">
    <w:name w:val="Абзац списка"/>
    <w:basedOn w:val="472"/>
    <w:next w:val="495"/>
    <w:link w:val="472"/>
    <w:pPr>
      <w:ind w:left="720"/>
    </w:pPr>
  </w:style>
  <w:style w:type="paragraph" w:styleId="496">
    <w:name w:val="Нижний колонтитул"/>
    <w:basedOn w:val="472"/>
    <w:next w:val="496"/>
    <w:link w:val="497"/>
    <w:pPr>
      <w:tabs>
        <w:tab w:val="center" w:pos="4677" w:leader="none"/>
        <w:tab w:val="right" w:pos="9355" w:leader="none"/>
      </w:tabs>
    </w:pPr>
  </w:style>
  <w:style w:type="character" w:styleId="497">
    <w:name w:val="Нижний колонтитул Знак"/>
    <w:next w:val="497"/>
    <w:link w:val="496"/>
    <w:rPr>
      <w:sz w:val="24"/>
      <w:szCs w:val="24"/>
    </w:rPr>
  </w:style>
  <w:style w:type="paragraph" w:styleId="498">
    <w:name w:val="Без интервала"/>
    <w:next w:val="498"/>
    <w:link w:val="472"/>
    <w:rPr>
      <w:rFonts w:ascii="Calibri" w:hAnsi="Calibri" w:eastAsia="Calibri"/>
      <w:sz w:val="22"/>
      <w:szCs w:val="22"/>
      <w:lang w:val="ru-RU" w:bidi="ar-SA" w:eastAsia="en-US"/>
    </w:rPr>
  </w:style>
  <w:style w:type="character" w:styleId="499">
    <w:name w:val="Гиперссылка"/>
    <w:next w:val="499"/>
    <w:link w:val="472"/>
    <w:rPr>
      <w:color w:val="0000FF"/>
      <w:u w:val="single"/>
    </w:rPr>
  </w:style>
  <w:style w:type="paragraph" w:styleId="500">
    <w:name w:val=".HEADERTEXT"/>
    <w:next w:val="500"/>
    <w:link w:val="472"/>
    <w:rPr>
      <w:rFonts w:ascii="Arial" w:hAnsi="Arial"/>
      <w:color w:val="2B4279"/>
      <w:sz w:val="22"/>
      <w:szCs w:val="22"/>
      <w:lang w:val="ru-RU" w:bidi="ar-SA" w:eastAsia="ru-RU"/>
    </w:rPr>
    <w:pPr>
      <w:widowControl w:val="off"/>
    </w:pPr>
  </w:style>
  <w:style w:type="paragraph" w:styleId="501">
    <w:name w:val="ConsPlusNormal"/>
    <w:next w:val="501"/>
    <w:link w:val="472"/>
    <w:rPr>
      <w:rFonts w:ascii="Arial" w:hAnsi="Arial"/>
      <w:lang w:val="ru-RU" w:bidi="ar-SA" w:eastAsia="ru-RU"/>
    </w:rPr>
  </w:style>
  <w:style w:type="paragraph" w:styleId="502">
    <w:name w:val="ConsNormal"/>
    <w:next w:val="502"/>
    <w:link w:val="472"/>
    <w:rPr>
      <w:rFonts w:ascii="Arial" w:hAnsi="Arial" w:eastAsia="Calibri"/>
      <w:lang w:val="ru-RU" w:bidi="ar-SA" w:eastAsia="ru-RU"/>
    </w:rPr>
    <w:pPr>
      <w:ind w:firstLine="720"/>
      <w:widowControl w:val="off"/>
    </w:pPr>
  </w:style>
  <w:style w:type="character" w:styleId="12113" w:default="1">
    <w:name w:val="Default Paragraph Font"/>
    <w:uiPriority w:val="1"/>
    <w:semiHidden/>
    <w:unhideWhenUsed/>
  </w:style>
  <w:style w:type="numbering" w:styleId="12114" w:default="1">
    <w:name w:val="No List"/>
    <w:uiPriority w:val="99"/>
    <w:semiHidden/>
    <w:unhideWhenUsed/>
  </w:style>
  <w:style w:type="paragraph" w:styleId="12115" w:default="1">
    <w:name w:val="Normal"/>
    <w:qFormat/>
  </w:style>
  <w:style w:type="table" w:styleId="121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2022-03-28T14:15:09Z</dcterms:modified>
</cp:coreProperties>
</file>